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F908" w14:textId="77777777" w:rsidR="00A22F20" w:rsidRDefault="00A22F20" w:rsidP="00B2489E">
      <w:pPr>
        <w:pStyle w:val="Title"/>
        <w:outlineLvl w:val="0"/>
      </w:pPr>
    </w:p>
    <w:p w14:paraId="075FAFD0" w14:textId="07ED3D2D" w:rsidR="0040540D" w:rsidRPr="0040540D" w:rsidRDefault="0040540D" w:rsidP="0040540D">
      <w:pPr>
        <w:pStyle w:val="Title"/>
        <w:outlineLvl w:val="0"/>
      </w:pPr>
      <w:r w:rsidRPr="0040540D">
        <w:t xml:space="preserve">Cancellation and Non-Attendance Policy </w:t>
      </w:r>
    </w:p>
    <w:p w14:paraId="0D5C41F0" w14:textId="7CE87ED9" w:rsidR="00B73D1D" w:rsidRPr="00CB38E2" w:rsidRDefault="00563EA6" w:rsidP="00CB38E2">
      <w:pPr>
        <w:pStyle w:val="Title"/>
        <w:outlineLvl w:val="0"/>
        <w:rPr>
          <w:rStyle w:val="SFbodycopygeneral"/>
          <w:rFonts w:ascii="Tahoma" w:hAnsi="Tahoma" w:cstheme="majorBidi"/>
          <w:color w:val="360015" w:themeColor="accent1"/>
          <w:spacing w:val="-10"/>
          <w:sz w:val="56"/>
          <w:szCs w:val="56"/>
          <w:lang w:val="en-GB"/>
        </w:rPr>
      </w:pPr>
      <w:r w:rsidRPr="00563EA6">
        <w:t xml:space="preserve"> </w:t>
      </w:r>
    </w:p>
    <w:p w14:paraId="6F3D99B0" w14:textId="71C4D78E" w:rsidR="00F26056" w:rsidRPr="0040540D" w:rsidRDefault="0040540D" w:rsidP="0040540D">
      <w:pPr>
        <w:pStyle w:val="Heading2"/>
      </w:pPr>
      <w:r w:rsidRPr="0040540D">
        <w:t>Introduction</w:t>
      </w:r>
    </w:p>
    <w:p w14:paraId="7358C211" w14:textId="77777777" w:rsidR="0040540D" w:rsidRDefault="0040540D" w:rsidP="0040540D">
      <w:pPr>
        <w:jc w:val="both"/>
        <w:rPr>
          <w:color w:val="auto"/>
        </w:rPr>
      </w:pPr>
      <w:r w:rsidRPr="0040540D">
        <w:rPr>
          <w:color w:val="auto"/>
        </w:rPr>
        <w:t>Where assessment components are cancelled or not attended, legitimate eligible costs will be incurred and will be payable to the party affected.</w:t>
      </w:r>
    </w:p>
    <w:p w14:paraId="1C692A18" w14:textId="7075D427" w:rsidR="0040540D" w:rsidRPr="0040540D" w:rsidRDefault="0040540D" w:rsidP="0040540D">
      <w:pPr>
        <w:jc w:val="both"/>
        <w:rPr>
          <w:color w:val="auto"/>
          <w:sz w:val="28"/>
        </w:rPr>
      </w:pPr>
      <w:r w:rsidRPr="0040540D">
        <w:rPr>
          <w:color w:val="auto"/>
          <w:sz w:val="28"/>
        </w:rPr>
        <w:t xml:space="preserve"> </w:t>
      </w:r>
      <w:r w:rsidRPr="0040540D">
        <w:rPr>
          <w:b/>
          <w:color w:val="auto"/>
          <w:sz w:val="28"/>
        </w:rPr>
        <w:t xml:space="preserve"> </w:t>
      </w:r>
    </w:p>
    <w:p w14:paraId="09809E75" w14:textId="77777777" w:rsidR="0040540D" w:rsidRPr="0040540D" w:rsidRDefault="0040540D" w:rsidP="0040540D">
      <w:pPr>
        <w:jc w:val="both"/>
        <w:rPr>
          <w:b/>
          <w:color w:val="auto"/>
          <w:sz w:val="28"/>
        </w:rPr>
      </w:pPr>
      <w:r w:rsidRPr="0040540D">
        <w:rPr>
          <w:b/>
          <w:color w:val="auto"/>
          <w:sz w:val="28"/>
        </w:rPr>
        <w:t xml:space="preserve">Objectives  </w:t>
      </w:r>
    </w:p>
    <w:p w14:paraId="264BA9C6" w14:textId="77777777" w:rsidR="0040540D" w:rsidRPr="0040540D" w:rsidRDefault="0040540D" w:rsidP="0040540D">
      <w:pPr>
        <w:jc w:val="both"/>
        <w:rPr>
          <w:color w:val="auto"/>
        </w:rPr>
      </w:pPr>
      <w:r w:rsidRPr="0040540D">
        <w:rPr>
          <w:color w:val="auto"/>
        </w:rPr>
        <w:t>Innovate Awarding aims to provide a consistent approach for apprentices, employers and providers when an End-point Assessment is cancelled or not attended.</w:t>
      </w:r>
      <w:r w:rsidRPr="0040540D">
        <w:rPr>
          <w:b/>
          <w:color w:val="auto"/>
        </w:rPr>
        <w:t xml:space="preserve"> </w:t>
      </w:r>
    </w:p>
    <w:p w14:paraId="14A186EB" w14:textId="77777777" w:rsidR="0040540D" w:rsidRDefault="0040540D" w:rsidP="0040540D">
      <w:pPr>
        <w:jc w:val="both"/>
        <w:rPr>
          <w:b/>
          <w:color w:val="auto"/>
        </w:rPr>
      </w:pPr>
    </w:p>
    <w:p w14:paraId="3FBCDE68" w14:textId="2F1A0794" w:rsidR="0040540D" w:rsidRPr="0040540D" w:rsidRDefault="0040540D" w:rsidP="0040540D">
      <w:pPr>
        <w:jc w:val="both"/>
        <w:rPr>
          <w:b/>
          <w:color w:val="auto"/>
          <w:sz w:val="28"/>
        </w:rPr>
      </w:pPr>
      <w:r w:rsidRPr="0040540D">
        <w:rPr>
          <w:b/>
          <w:color w:val="auto"/>
          <w:sz w:val="28"/>
        </w:rPr>
        <w:t xml:space="preserve">Scope </w:t>
      </w:r>
    </w:p>
    <w:p w14:paraId="4BAD0E94" w14:textId="77777777" w:rsidR="0040540D" w:rsidRPr="0040540D" w:rsidRDefault="0040540D" w:rsidP="0040540D">
      <w:pPr>
        <w:jc w:val="both"/>
        <w:rPr>
          <w:color w:val="auto"/>
        </w:rPr>
      </w:pPr>
      <w:r w:rsidRPr="0040540D">
        <w:rPr>
          <w:color w:val="auto"/>
        </w:rPr>
        <w:t>This policy covers all booked End-point Assessment components for all standards delivered by Innovate Awarding.</w:t>
      </w:r>
      <w:r w:rsidRPr="0040540D">
        <w:rPr>
          <w:b/>
          <w:color w:val="auto"/>
        </w:rPr>
        <w:t xml:space="preserve"> Policies </w:t>
      </w:r>
    </w:p>
    <w:p w14:paraId="49151297" w14:textId="77777777" w:rsidR="0040540D" w:rsidRPr="0040540D" w:rsidRDefault="0040540D" w:rsidP="0040540D">
      <w:pPr>
        <w:jc w:val="both"/>
        <w:rPr>
          <w:color w:val="auto"/>
        </w:rPr>
      </w:pPr>
      <w:r w:rsidRPr="0040540D">
        <w:rPr>
          <w:color w:val="auto"/>
        </w:rPr>
        <w:t xml:space="preserve">These policies cover Innovate Awarding’s process and charges in relation to assessments being cancelled or abandoned. Specifically, this policy document will cover: </w:t>
      </w:r>
      <w:r w:rsidRPr="0040540D">
        <w:rPr>
          <w:b/>
          <w:color w:val="auto"/>
        </w:rPr>
        <w:t xml:space="preserve"> </w:t>
      </w:r>
    </w:p>
    <w:p w14:paraId="487707FE" w14:textId="77777777" w:rsidR="0040540D" w:rsidRPr="0040540D" w:rsidRDefault="0040540D" w:rsidP="0040540D">
      <w:pPr>
        <w:numPr>
          <w:ilvl w:val="0"/>
          <w:numId w:val="21"/>
        </w:numPr>
        <w:jc w:val="both"/>
        <w:rPr>
          <w:color w:val="auto"/>
        </w:rPr>
      </w:pPr>
      <w:r w:rsidRPr="0040540D">
        <w:rPr>
          <w:color w:val="auto"/>
        </w:rPr>
        <w:t xml:space="preserve">Cancellations (notified) – Cancellations made with sufficient notice (5 working days or more) and not liable to any charges. </w:t>
      </w:r>
      <w:r w:rsidRPr="0040540D">
        <w:rPr>
          <w:b/>
          <w:color w:val="auto"/>
        </w:rPr>
        <w:t xml:space="preserve"> </w:t>
      </w:r>
    </w:p>
    <w:p w14:paraId="2AD72DC9" w14:textId="77777777" w:rsidR="0040540D" w:rsidRPr="0040540D" w:rsidRDefault="0040540D" w:rsidP="0040540D">
      <w:pPr>
        <w:ind w:left="705"/>
        <w:jc w:val="both"/>
        <w:rPr>
          <w:color w:val="auto"/>
        </w:rPr>
      </w:pPr>
    </w:p>
    <w:p w14:paraId="197A6CA6" w14:textId="77777777" w:rsidR="0040540D" w:rsidRPr="0040540D" w:rsidRDefault="0040540D" w:rsidP="0040540D">
      <w:pPr>
        <w:numPr>
          <w:ilvl w:val="0"/>
          <w:numId w:val="21"/>
        </w:numPr>
        <w:jc w:val="both"/>
        <w:rPr>
          <w:color w:val="auto"/>
        </w:rPr>
      </w:pPr>
      <w:r w:rsidRPr="0040540D">
        <w:rPr>
          <w:color w:val="auto"/>
        </w:rPr>
        <w:t>Late Cancellations (not notified) – Cancellations made with insufficient notice before 5PM on the day prior to the scheduled assessment but with less than 5 working days’ notice and liable to a charge related to 50% of the component cost listed in the Cancellation fees list.</w:t>
      </w:r>
      <w:r w:rsidRPr="0040540D">
        <w:rPr>
          <w:b/>
          <w:color w:val="auto"/>
        </w:rPr>
        <w:t xml:space="preserve"> </w:t>
      </w:r>
    </w:p>
    <w:p w14:paraId="6938DF75" w14:textId="77777777" w:rsidR="0040540D" w:rsidRPr="0040540D" w:rsidRDefault="0040540D" w:rsidP="0040540D">
      <w:pPr>
        <w:pStyle w:val="ListParagraph"/>
        <w:numPr>
          <w:ilvl w:val="0"/>
          <w:numId w:val="0"/>
        </w:numPr>
        <w:ind w:left="1440"/>
        <w:rPr>
          <w:color w:val="auto"/>
        </w:rPr>
      </w:pPr>
    </w:p>
    <w:p w14:paraId="08A6D9D3" w14:textId="77777777" w:rsidR="0040540D" w:rsidRPr="0040540D" w:rsidRDefault="0040540D" w:rsidP="0040540D">
      <w:pPr>
        <w:numPr>
          <w:ilvl w:val="0"/>
          <w:numId w:val="21"/>
        </w:numPr>
        <w:jc w:val="both"/>
        <w:rPr>
          <w:color w:val="auto"/>
        </w:rPr>
      </w:pPr>
      <w:r w:rsidRPr="0040540D">
        <w:rPr>
          <w:color w:val="auto"/>
        </w:rPr>
        <w:t>Non-Attendance – Where cancellation occurs after 5PM on the day prior to the scheduled assessment, on the day of the assessment or where the assessment doesn’t take place due to a no show from either the apprentice or the End-point Assessor, and liable to a charge related to 100% of the component cost listed in the Cancellation fee list.</w:t>
      </w:r>
      <w:r w:rsidRPr="0040540D">
        <w:rPr>
          <w:b/>
          <w:color w:val="auto"/>
        </w:rPr>
        <w:t xml:space="preserve"> </w:t>
      </w:r>
    </w:p>
    <w:p w14:paraId="03FF2C01" w14:textId="77777777" w:rsidR="0040540D" w:rsidRPr="0040540D" w:rsidRDefault="0040540D" w:rsidP="0040540D">
      <w:pPr>
        <w:jc w:val="both"/>
        <w:rPr>
          <w:color w:val="auto"/>
        </w:rPr>
      </w:pPr>
      <w:r w:rsidRPr="0040540D">
        <w:rPr>
          <w:b/>
          <w:color w:val="auto"/>
        </w:rPr>
        <w:t xml:space="preserve"> </w:t>
      </w:r>
    </w:p>
    <w:p w14:paraId="6F47C640" w14:textId="77777777" w:rsidR="0040540D" w:rsidRDefault="0040540D" w:rsidP="0040540D">
      <w:pPr>
        <w:jc w:val="both"/>
        <w:rPr>
          <w:b/>
          <w:color w:val="auto"/>
        </w:rPr>
      </w:pPr>
      <w:r w:rsidRPr="0040540D">
        <w:rPr>
          <w:color w:val="auto"/>
        </w:rPr>
        <w:t>This policy also covers End-point Assessments which require a submission prior to the date of assessment.</w:t>
      </w:r>
      <w:r w:rsidRPr="0040540D">
        <w:rPr>
          <w:b/>
          <w:color w:val="auto"/>
        </w:rPr>
        <w:t xml:space="preserve"> </w:t>
      </w:r>
    </w:p>
    <w:p w14:paraId="2D3BDA6D" w14:textId="77777777" w:rsidR="00253F63" w:rsidRPr="0040540D" w:rsidRDefault="00253F63" w:rsidP="0040540D">
      <w:pPr>
        <w:jc w:val="both"/>
        <w:rPr>
          <w:color w:val="auto"/>
        </w:rPr>
      </w:pPr>
    </w:p>
    <w:p w14:paraId="2F8D85AE" w14:textId="77777777" w:rsidR="0040540D" w:rsidRDefault="0040540D" w:rsidP="0040540D">
      <w:pPr>
        <w:jc w:val="both"/>
        <w:rPr>
          <w:b/>
          <w:color w:val="auto"/>
        </w:rPr>
      </w:pPr>
      <w:r w:rsidRPr="0040540D">
        <w:rPr>
          <w:color w:val="auto"/>
        </w:rPr>
        <w:t xml:space="preserve">Where submissions are required a submission date will be set for the apprentice at the planning meeting. If a submission date is missed a 7-day extension will be granted, however if the second or subsequent submission is made it will result in a non-attendance. </w:t>
      </w:r>
      <w:r w:rsidRPr="0040540D">
        <w:rPr>
          <w:b/>
          <w:color w:val="auto"/>
        </w:rPr>
        <w:t xml:space="preserve"> </w:t>
      </w:r>
    </w:p>
    <w:p w14:paraId="22D000CD" w14:textId="77777777" w:rsidR="00253F63" w:rsidRPr="0040540D" w:rsidRDefault="00253F63" w:rsidP="0040540D">
      <w:pPr>
        <w:jc w:val="both"/>
        <w:rPr>
          <w:color w:val="auto"/>
        </w:rPr>
      </w:pPr>
    </w:p>
    <w:p w14:paraId="634E2493" w14:textId="77777777" w:rsidR="0040540D" w:rsidRPr="0040540D" w:rsidRDefault="0040540D" w:rsidP="0040540D">
      <w:pPr>
        <w:jc w:val="both"/>
        <w:rPr>
          <w:color w:val="auto"/>
        </w:rPr>
      </w:pPr>
      <w:r w:rsidRPr="0040540D">
        <w:rPr>
          <w:color w:val="auto"/>
        </w:rPr>
        <w:lastRenderedPageBreak/>
        <w:t xml:space="preserve">Whilst it is accepted that cancellations, including notified cancellations may be unavoidable, it is vital that once an EPA schedule is agreed all parties are committed to ensuring that the assessment components take place as planned unless there are unforeseen circumstances that make it impossible to do so. </w:t>
      </w:r>
    </w:p>
    <w:p w14:paraId="4045FA4D" w14:textId="4072A5BA" w:rsidR="0040540D" w:rsidRDefault="0040540D" w:rsidP="0040540D">
      <w:pPr>
        <w:jc w:val="both"/>
        <w:rPr>
          <w:b/>
          <w:color w:val="auto"/>
        </w:rPr>
      </w:pPr>
    </w:p>
    <w:p w14:paraId="29413B42" w14:textId="57A03510" w:rsidR="0040540D" w:rsidRPr="0040540D" w:rsidRDefault="0040540D" w:rsidP="0040540D">
      <w:pPr>
        <w:jc w:val="both"/>
        <w:rPr>
          <w:b/>
          <w:color w:val="auto"/>
          <w:sz w:val="28"/>
        </w:rPr>
      </w:pPr>
      <w:r w:rsidRPr="0040540D">
        <w:rPr>
          <w:b/>
          <w:color w:val="auto"/>
          <w:sz w:val="28"/>
        </w:rPr>
        <w:t xml:space="preserve">Cancellation (notified)  </w:t>
      </w:r>
    </w:p>
    <w:p w14:paraId="4FDB56FE" w14:textId="77777777" w:rsidR="0040540D" w:rsidRPr="0040540D" w:rsidRDefault="0040540D" w:rsidP="0040540D">
      <w:pPr>
        <w:jc w:val="both"/>
        <w:rPr>
          <w:color w:val="auto"/>
        </w:rPr>
      </w:pPr>
    </w:p>
    <w:p w14:paraId="222527FC" w14:textId="77777777" w:rsidR="0040540D" w:rsidRPr="0040540D" w:rsidRDefault="0040540D" w:rsidP="0040540D">
      <w:pPr>
        <w:jc w:val="both"/>
        <w:rPr>
          <w:b/>
          <w:bCs w:val="0"/>
          <w:color w:val="auto"/>
          <w:sz w:val="28"/>
        </w:rPr>
      </w:pPr>
      <w:r w:rsidRPr="0040540D">
        <w:rPr>
          <w:b/>
          <w:bCs w:val="0"/>
          <w:color w:val="auto"/>
          <w:sz w:val="28"/>
        </w:rPr>
        <w:t xml:space="preserve">Policy Statement </w:t>
      </w:r>
    </w:p>
    <w:p w14:paraId="067BA613" w14:textId="77777777" w:rsidR="0040540D" w:rsidRPr="0040540D" w:rsidRDefault="0040540D" w:rsidP="0040540D">
      <w:pPr>
        <w:jc w:val="both"/>
        <w:rPr>
          <w:color w:val="auto"/>
        </w:rPr>
      </w:pPr>
      <w:r w:rsidRPr="0040540D">
        <w:rPr>
          <w:color w:val="auto"/>
        </w:rPr>
        <w:t xml:space="preserve">This policy outlines the processes followed when an apprentice or End-point Assessor (EPA) cancels a scheduled End-point Assessment with more than the required notice period prescribed by Innovate Awarding  </w:t>
      </w:r>
    </w:p>
    <w:p w14:paraId="7BD6FFF4" w14:textId="77777777" w:rsidR="0040540D" w:rsidRDefault="0040540D" w:rsidP="0040540D">
      <w:pPr>
        <w:jc w:val="both"/>
        <w:rPr>
          <w:color w:val="auto"/>
        </w:rPr>
      </w:pPr>
    </w:p>
    <w:p w14:paraId="509EE1DF" w14:textId="1144149A" w:rsidR="0040540D" w:rsidRPr="0040540D" w:rsidRDefault="0040540D" w:rsidP="0040540D">
      <w:pPr>
        <w:jc w:val="both"/>
        <w:rPr>
          <w:b/>
          <w:bCs w:val="0"/>
          <w:color w:val="auto"/>
          <w:sz w:val="28"/>
        </w:rPr>
      </w:pPr>
      <w:r w:rsidRPr="0040540D">
        <w:rPr>
          <w:b/>
          <w:bCs w:val="0"/>
          <w:color w:val="auto"/>
          <w:sz w:val="28"/>
        </w:rPr>
        <w:t xml:space="preserve">Scope </w:t>
      </w:r>
    </w:p>
    <w:p w14:paraId="7A4BFFF9" w14:textId="77777777" w:rsidR="0040540D" w:rsidRDefault="0040540D" w:rsidP="0040540D">
      <w:pPr>
        <w:jc w:val="both"/>
        <w:rPr>
          <w:b/>
          <w:color w:val="auto"/>
        </w:rPr>
      </w:pPr>
      <w:r w:rsidRPr="0040540D">
        <w:rPr>
          <w:color w:val="auto"/>
        </w:rPr>
        <w:t xml:space="preserve">This policy covers all booked End-point Assessment components. </w:t>
      </w:r>
      <w:r w:rsidRPr="0040540D">
        <w:rPr>
          <w:b/>
          <w:color w:val="auto"/>
        </w:rPr>
        <w:t xml:space="preserve"> </w:t>
      </w:r>
    </w:p>
    <w:p w14:paraId="4FE14C97" w14:textId="77777777" w:rsidR="0040540D" w:rsidRPr="0040540D" w:rsidRDefault="0040540D" w:rsidP="0040540D">
      <w:pPr>
        <w:jc w:val="both"/>
        <w:rPr>
          <w:color w:val="auto"/>
        </w:rPr>
      </w:pPr>
    </w:p>
    <w:p w14:paraId="50A7FD1A" w14:textId="77777777" w:rsidR="0040540D" w:rsidRPr="0040540D" w:rsidRDefault="0040540D" w:rsidP="0040540D">
      <w:pPr>
        <w:jc w:val="both"/>
        <w:rPr>
          <w:b/>
          <w:bCs w:val="0"/>
          <w:color w:val="auto"/>
          <w:sz w:val="28"/>
        </w:rPr>
      </w:pPr>
      <w:r w:rsidRPr="0040540D">
        <w:rPr>
          <w:b/>
          <w:bCs w:val="0"/>
          <w:color w:val="auto"/>
          <w:sz w:val="28"/>
        </w:rPr>
        <w:t xml:space="preserve">Policy and Process </w:t>
      </w:r>
    </w:p>
    <w:p w14:paraId="57A59BD8" w14:textId="77777777" w:rsidR="0040540D" w:rsidRPr="0040540D" w:rsidRDefault="0040540D" w:rsidP="0040540D">
      <w:pPr>
        <w:jc w:val="both"/>
        <w:rPr>
          <w:color w:val="auto"/>
        </w:rPr>
      </w:pPr>
      <w:r w:rsidRPr="0040540D">
        <w:rPr>
          <w:color w:val="auto"/>
        </w:rPr>
        <w:t>In accordance with the ESFA Rules, Innovate Awarding will charge/or refund the provider eligible costs, legitimately incurred where, due to either unforeseen circumstances or a change of circumstance the assessment cannot occur as planned within an agreed timeline.  For the purposes of this policy:</w:t>
      </w:r>
      <w:r w:rsidRPr="0040540D">
        <w:rPr>
          <w:b/>
          <w:color w:val="auto"/>
        </w:rPr>
        <w:t xml:space="preserve"> </w:t>
      </w:r>
    </w:p>
    <w:p w14:paraId="07589FAA" w14:textId="77777777" w:rsidR="0040540D" w:rsidRPr="0040540D" w:rsidRDefault="0040540D" w:rsidP="0040540D">
      <w:pPr>
        <w:jc w:val="both"/>
        <w:rPr>
          <w:color w:val="auto"/>
        </w:rPr>
      </w:pPr>
      <w:r w:rsidRPr="0040540D">
        <w:rPr>
          <w:color w:val="auto"/>
        </w:rPr>
        <w:t xml:space="preserve">• Any cancellation provided with five working days’ notice or longer will be considered as Notified Cancellation and will be rescheduled without charge or refund. </w:t>
      </w:r>
      <w:r w:rsidRPr="0040540D">
        <w:rPr>
          <w:b/>
          <w:color w:val="auto"/>
        </w:rPr>
        <w:t xml:space="preserve"> </w:t>
      </w:r>
    </w:p>
    <w:p w14:paraId="6DF1E956" w14:textId="77777777" w:rsidR="0040540D" w:rsidRPr="0040540D" w:rsidRDefault="0040540D" w:rsidP="0040540D">
      <w:pPr>
        <w:jc w:val="both"/>
        <w:rPr>
          <w:color w:val="auto"/>
        </w:rPr>
      </w:pPr>
      <w:r w:rsidRPr="0040540D">
        <w:rPr>
          <w:color w:val="auto"/>
        </w:rPr>
        <w:t xml:space="preserve"> </w:t>
      </w:r>
    </w:p>
    <w:p w14:paraId="74918B5D" w14:textId="77777777" w:rsidR="0040540D" w:rsidRPr="0040540D" w:rsidRDefault="0040540D" w:rsidP="0040540D">
      <w:pPr>
        <w:jc w:val="both"/>
        <w:rPr>
          <w:b/>
          <w:color w:val="auto"/>
          <w:sz w:val="28"/>
        </w:rPr>
      </w:pPr>
      <w:r w:rsidRPr="0040540D">
        <w:rPr>
          <w:b/>
          <w:color w:val="auto"/>
          <w:sz w:val="28"/>
        </w:rPr>
        <w:t xml:space="preserve">Late Cancellation (not notified) </w:t>
      </w:r>
    </w:p>
    <w:p w14:paraId="0E9C6A32" w14:textId="77777777" w:rsidR="0040540D" w:rsidRPr="0040540D" w:rsidRDefault="0040540D" w:rsidP="0040540D">
      <w:pPr>
        <w:jc w:val="both"/>
        <w:rPr>
          <w:b/>
          <w:bCs w:val="0"/>
          <w:color w:val="auto"/>
          <w:sz w:val="28"/>
        </w:rPr>
      </w:pPr>
      <w:r w:rsidRPr="0040540D">
        <w:rPr>
          <w:b/>
          <w:bCs w:val="0"/>
          <w:color w:val="auto"/>
          <w:sz w:val="28"/>
        </w:rPr>
        <w:t xml:space="preserve"> </w:t>
      </w:r>
    </w:p>
    <w:p w14:paraId="21A2B9F0" w14:textId="77777777" w:rsidR="0040540D" w:rsidRPr="0040540D" w:rsidRDefault="0040540D" w:rsidP="0040540D">
      <w:pPr>
        <w:jc w:val="both"/>
        <w:rPr>
          <w:b/>
          <w:bCs w:val="0"/>
          <w:color w:val="auto"/>
          <w:sz w:val="28"/>
        </w:rPr>
      </w:pPr>
      <w:r w:rsidRPr="0040540D">
        <w:rPr>
          <w:b/>
          <w:bCs w:val="0"/>
          <w:color w:val="auto"/>
          <w:sz w:val="28"/>
        </w:rPr>
        <w:t xml:space="preserve">Policy Statement </w:t>
      </w:r>
    </w:p>
    <w:p w14:paraId="7AC3E162" w14:textId="77777777" w:rsidR="0040540D" w:rsidRPr="0040540D" w:rsidRDefault="0040540D" w:rsidP="0040540D">
      <w:pPr>
        <w:jc w:val="both"/>
        <w:rPr>
          <w:color w:val="auto"/>
        </w:rPr>
      </w:pPr>
      <w:r w:rsidRPr="0040540D">
        <w:rPr>
          <w:color w:val="auto"/>
        </w:rPr>
        <w:t xml:space="preserve">This policy outlines the processes followed when an apprentice or End-point Assessor (EPA) cancels a scheduled End-point Assessment outside of the required notice period prescribed by Innovate Awarding but </w:t>
      </w:r>
      <w:r w:rsidRPr="0040540D">
        <w:rPr>
          <w:color w:val="auto"/>
          <w:u w:val="single"/>
        </w:rPr>
        <w:t>before 5PM on the day prior to assessment</w:t>
      </w:r>
      <w:r w:rsidRPr="0040540D">
        <w:rPr>
          <w:color w:val="auto"/>
        </w:rPr>
        <w:t xml:space="preserve">.  </w:t>
      </w:r>
    </w:p>
    <w:p w14:paraId="6B505864" w14:textId="77777777" w:rsidR="0040540D" w:rsidRDefault="0040540D" w:rsidP="0040540D">
      <w:pPr>
        <w:jc w:val="both"/>
        <w:rPr>
          <w:color w:val="auto"/>
        </w:rPr>
      </w:pPr>
    </w:p>
    <w:p w14:paraId="47AA6B74" w14:textId="4D164B37" w:rsidR="0040540D" w:rsidRPr="0040540D" w:rsidRDefault="0040540D" w:rsidP="0040540D">
      <w:pPr>
        <w:jc w:val="both"/>
        <w:rPr>
          <w:b/>
          <w:bCs w:val="0"/>
          <w:color w:val="auto"/>
          <w:sz w:val="28"/>
        </w:rPr>
      </w:pPr>
      <w:r w:rsidRPr="0040540D">
        <w:rPr>
          <w:b/>
          <w:bCs w:val="0"/>
          <w:color w:val="auto"/>
          <w:sz w:val="28"/>
        </w:rPr>
        <w:t xml:space="preserve">Scope </w:t>
      </w:r>
    </w:p>
    <w:p w14:paraId="6FE92EE8" w14:textId="77777777" w:rsidR="0040540D" w:rsidRPr="0040540D" w:rsidRDefault="0040540D" w:rsidP="0040540D">
      <w:pPr>
        <w:jc w:val="both"/>
        <w:rPr>
          <w:color w:val="auto"/>
        </w:rPr>
      </w:pPr>
      <w:r w:rsidRPr="0040540D">
        <w:rPr>
          <w:color w:val="auto"/>
        </w:rPr>
        <w:t xml:space="preserve">This policy covers all booked End-point Assessment components. </w:t>
      </w:r>
      <w:r w:rsidRPr="0040540D">
        <w:rPr>
          <w:b/>
          <w:color w:val="auto"/>
        </w:rPr>
        <w:t xml:space="preserve"> </w:t>
      </w:r>
    </w:p>
    <w:p w14:paraId="38F4C769" w14:textId="77777777" w:rsidR="003617FF" w:rsidRDefault="003617FF" w:rsidP="0040540D">
      <w:pPr>
        <w:jc w:val="both"/>
        <w:rPr>
          <w:color w:val="auto"/>
        </w:rPr>
      </w:pPr>
    </w:p>
    <w:p w14:paraId="5FB97E74" w14:textId="56092C49" w:rsidR="0040540D" w:rsidRPr="003617FF" w:rsidRDefault="0040540D" w:rsidP="0040540D">
      <w:pPr>
        <w:jc w:val="both"/>
        <w:rPr>
          <w:b/>
          <w:bCs w:val="0"/>
          <w:color w:val="auto"/>
          <w:sz w:val="28"/>
        </w:rPr>
      </w:pPr>
      <w:r w:rsidRPr="003617FF">
        <w:rPr>
          <w:b/>
          <w:bCs w:val="0"/>
          <w:color w:val="auto"/>
          <w:sz w:val="28"/>
        </w:rPr>
        <w:t xml:space="preserve">Policy and Process </w:t>
      </w:r>
    </w:p>
    <w:p w14:paraId="6A3511DD" w14:textId="39E04C11" w:rsidR="0040540D" w:rsidRDefault="0040540D" w:rsidP="0040540D">
      <w:pPr>
        <w:jc w:val="both"/>
        <w:rPr>
          <w:b/>
          <w:color w:val="auto"/>
        </w:rPr>
      </w:pPr>
      <w:r w:rsidRPr="0040540D">
        <w:rPr>
          <w:color w:val="auto"/>
        </w:rPr>
        <w:t>In accordance with the ESFA Rules, Innovate Awarding will charge/or refund the provider eligible costs, legitimately incurred where, due to either unforeseen circumstances or a change of circumstance the assessment cannot occur as planned within an agreed timeline.  For the purposes of this policy:</w:t>
      </w:r>
      <w:r w:rsidRPr="0040540D">
        <w:rPr>
          <w:b/>
          <w:color w:val="auto"/>
        </w:rPr>
        <w:t xml:space="preserve"> </w:t>
      </w:r>
    </w:p>
    <w:p w14:paraId="76E9FAA6" w14:textId="77777777" w:rsidR="003617FF" w:rsidRPr="0040540D" w:rsidRDefault="003617FF" w:rsidP="0040540D">
      <w:pPr>
        <w:jc w:val="both"/>
        <w:rPr>
          <w:color w:val="auto"/>
        </w:rPr>
      </w:pPr>
    </w:p>
    <w:p w14:paraId="10FB3071" w14:textId="77777777" w:rsidR="0040540D" w:rsidRPr="0040540D" w:rsidRDefault="0040540D" w:rsidP="0040540D">
      <w:pPr>
        <w:jc w:val="both"/>
        <w:rPr>
          <w:color w:val="auto"/>
        </w:rPr>
      </w:pPr>
      <w:r w:rsidRPr="0040540D">
        <w:rPr>
          <w:color w:val="auto"/>
        </w:rPr>
        <w:t xml:space="preserve">• Late Cancellation (not notified) relates only to where the Apprentice, Employer, Provider or End-point Assessor cancels an assessment, or component of an assessment with less than five working days’ notice up to 5pm on the day prior to the assessment is scheduled.  </w:t>
      </w:r>
      <w:r w:rsidRPr="0040540D">
        <w:rPr>
          <w:b/>
          <w:color w:val="auto"/>
        </w:rPr>
        <w:t xml:space="preserve"> </w:t>
      </w:r>
    </w:p>
    <w:p w14:paraId="0F7E1AC6" w14:textId="5392D8CC" w:rsidR="0040540D" w:rsidRPr="00D36FA9" w:rsidRDefault="0040540D" w:rsidP="00D36FA9">
      <w:pPr>
        <w:pStyle w:val="ListParagraph"/>
        <w:numPr>
          <w:ilvl w:val="0"/>
          <w:numId w:val="23"/>
        </w:numPr>
        <w:ind w:left="284"/>
        <w:jc w:val="both"/>
        <w:rPr>
          <w:color w:val="auto"/>
        </w:rPr>
      </w:pPr>
      <w:r w:rsidRPr="00253F63">
        <w:rPr>
          <w:color w:val="auto"/>
        </w:rPr>
        <w:t>Costs are shown in the cancellation and non-attendance charge list published on epaPRO</w:t>
      </w:r>
      <w:r w:rsidRPr="00253F63">
        <w:rPr>
          <w:b/>
          <w:color w:val="auto"/>
        </w:rPr>
        <w:t xml:space="preserve"> </w:t>
      </w:r>
    </w:p>
    <w:p w14:paraId="78B2E7CD" w14:textId="77777777" w:rsidR="00D36FA9" w:rsidRPr="00253F63" w:rsidRDefault="00D36FA9" w:rsidP="00D36FA9">
      <w:pPr>
        <w:pStyle w:val="ListParagraph"/>
        <w:numPr>
          <w:ilvl w:val="0"/>
          <w:numId w:val="0"/>
        </w:numPr>
        <w:ind w:left="284"/>
        <w:jc w:val="both"/>
        <w:rPr>
          <w:color w:val="auto"/>
        </w:rPr>
      </w:pPr>
    </w:p>
    <w:p w14:paraId="73D5C87C" w14:textId="0744D64F" w:rsidR="0040540D" w:rsidRPr="00D36FA9" w:rsidRDefault="0040540D" w:rsidP="00D36FA9">
      <w:pPr>
        <w:pStyle w:val="ListParagraph"/>
        <w:numPr>
          <w:ilvl w:val="0"/>
          <w:numId w:val="23"/>
        </w:numPr>
        <w:ind w:left="142" w:hanging="284"/>
        <w:jc w:val="both"/>
        <w:rPr>
          <w:color w:val="auto"/>
        </w:rPr>
      </w:pPr>
      <w:r w:rsidRPr="00D36FA9">
        <w:rPr>
          <w:color w:val="auto"/>
        </w:rPr>
        <w:lastRenderedPageBreak/>
        <w:t xml:space="preserve">A late cancellation will be rescheduled and will not count as a fail for the </w:t>
      </w:r>
    </w:p>
    <w:p w14:paraId="6B7943D7" w14:textId="77777777" w:rsidR="0040540D" w:rsidRDefault="0040540D" w:rsidP="00D36FA9">
      <w:pPr>
        <w:ind w:left="426" w:hanging="284"/>
        <w:jc w:val="both"/>
        <w:rPr>
          <w:b/>
          <w:color w:val="auto"/>
        </w:rPr>
      </w:pPr>
      <w:r w:rsidRPr="0040540D">
        <w:rPr>
          <w:color w:val="auto"/>
        </w:rPr>
        <w:t>apprentice</w:t>
      </w:r>
      <w:r w:rsidRPr="0040540D">
        <w:rPr>
          <w:b/>
          <w:color w:val="auto"/>
        </w:rPr>
        <w:t xml:space="preserve"> </w:t>
      </w:r>
    </w:p>
    <w:p w14:paraId="4EBDE837" w14:textId="4CCC9ECF" w:rsidR="0040540D" w:rsidRPr="00D36FA9" w:rsidRDefault="0040540D" w:rsidP="00D36FA9">
      <w:pPr>
        <w:pStyle w:val="ListParagraph"/>
        <w:numPr>
          <w:ilvl w:val="0"/>
          <w:numId w:val="23"/>
        </w:numPr>
        <w:ind w:left="142"/>
        <w:jc w:val="both"/>
        <w:rPr>
          <w:bCs w:val="0"/>
          <w:color w:val="auto"/>
        </w:rPr>
      </w:pPr>
      <w:r w:rsidRPr="00D36FA9">
        <w:rPr>
          <w:bCs w:val="0"/>
          <w:color w:val="auto"/>
        </w:rPr>
        <w:t xml:space="preserve">Should the late cancellation be caused by Innovate Awarding an amount for the reasonable costs incurred by the employer in scheduling and making available the Apprentice will be refunded and the assessment rescheduled based upon the charges shown in the cancellation charge list. The component will be rescheduled as a priority. </w:t>
      </w:r>
    </w:p>
    <w:p w14:paraId="6682613E" w14:textId="799C5362" w:rsidR="0040540D" w:rsidRPr="00D36FA9" w:rsidRDefault="0040540D" w:rsidP="00D36FA9">
      <w:pPr>
        <w:pStyle w:val="ListParagraph"/>
        <w:numPr>
          <w:ilvl w:val="0"/>
          <w:numId w:val="23"/>
        </w:numPr>
        <w:ind w:left="142"/>
        <w:jc w:val="both"/>
        <w:rPr>
          <w:bCs w:val="0"/>
          <w:color w:val="auto"/>
        </w:rPr>
      </w:pPr>
      <w:r w:rsidRPr="00D36FA9">
        <w:rPr>
          <w:bCs w:val="0"/>
          <w:color w:val="auto"/>
        </w:rPr>
        <w:t xml:space="preserve">A late cancellation will result in the full cost of proctoring being charged. </w:t>
      </w:r>
    </w:p>
    <w:p w14:paraId="2934195E" w14:textId="77777777" w:rsidR="0040540D" w:rsidRPr="00AF37DF" w:rsidRDefault="0040540D" w:rsidP="0040540D">
      <w:pPr>
        <w:jc w:val="both"/>
        <w:rPr>
          <w:color w:val="auto"/>
          <w:szCs w:val="24"/>
        </w:rPr>
      </w:pPr>
    </w:p>
    <w:p w14:paraId="10B9E6C4" w14:textId="3453A60D" w:rsidR="0040540D" w:rsidRPr="003617FF" w:rsidRDefault="0040540D" w:rsidP="0040540D">
      <w:pPr>
        <w:jc w:val="both"/>
        <w:rPr>
          <w:color w:val="auto"/>
          <w:sz w:val="28"/>
        </w:rPr>
      </w:pPr>
      <w:r w:rsidRPr="003617FF">
        <w:rPr>
          <w:b/>
          <w:color w:val="auto"/>
          <w:sz w:val="28"/>
        </w:rPr>
        <w:t>Cancellation (</w:t>
      </w:r>
      <w:r w:rsidR="003617FF" w:rsidRPr="003617FF">
        <w:rPr>
          <w:b/>
          <w:color w:val="auto"/>
          <w:sz w:val="28"/>
        </w:rPr>
        <w:t>non-attendance</w:t>
      </w:r>
      <w:r w:rsidRPr="003617FF">
        <w:rPr>
          <w:b/>
          <w:color w:val="auto"/>
          <w:sz w:val="28"/>
        </w:rPr>
        <w:t xml:space="preserve">) </w:t>
      </w:r>
    </w:p>
    <w:p w14:paraId="46D6A8C5" w14:textId="77777777" w:rsidR="0040540D" w:rsidRPr="00AF37DF" w:rsidRDefault="0040540D" w:rsidP="0040540D">
      <w:pPr>
        <w:jc w:val="both"/>
        <w:rPr>
          <w:color w:val="auto"/>
          <w:szCs w:val="24"/>
        </w:rPr>
      </w:pPr>
      <w:r w:rsidRPr="003617FF">
        <w:rPr>
          <w:b/>
          <w:color w:val="auto"/>
          <w:sz w:val="28"/>
        </w:rPr>
        <w:t xml:space="preserve"> </w:t>
      </w:r>
    </w:p>
    <w:p w14:paraId="341576EB" w14:textId="77777777" w:rsidR="0040540D" w:rsidRPr="003617FF" w:rsidRDefault="0040540D" w:rsidP="0040540D">
      <w:pPr>
        <w:jc w:val="both"/>
        <w:rPr>
          <w:b/>
          <w:bCs w:val="0"/>
          <w:color w:val="auto"/>
          <w:sz w:val="28"/>
        </w:rPr>
      </w:pPr>
      <w:r w:rsidRPr="003617FF">
        <w:rPr>
          <w:b/>
          <w:bCs w:val="0"/>
          <w:color w:val="auto"/>
          <w:sz w:val="28"/>
        </w:rPr>
        <w:t xml:space="preserve">Policy Statement </w:t>
      </w:r>
    </w:p>
    <w:p w14:paraId="367FD7AF" w14:textId="77777777" w:rsidR="0040540D" w:rsidRPr="0040540D" w:rsidRDefault="0040540D" w:rsidP="0040540D">
      <w:pPr>
        <w:jc w:val="both"/>
        <w:rPr>
          <w:color w:val="auto"/>
        </w:rPr>
      </w:pPr>
      <w:r w:rsidRPr="0040540D">
        <w:rPr>
          <w:color w:val="auto"/>
        </w:rPr>
        <w:t xml:space="preserve">This policy outlines the processes to follow when an Apprentice or End-point Assessor (EPA) fails to attend a scheduled End-point Assessment, or the assessment is cancelled after 5PM on the day prior to the scheduled assessment.  </w:t>
      </w:r>
    </w:p>
    <w:p w14:paraId="26E477ED" w14:textId="77777777" w:rsidR="003617FF" w:rsidRPr="003617FF" w:rsidRDefault="003617FF" w:rsidP="0040540D">
      <w:pPr>
        <w:jc w:val="both"/>
        <w:rPr>
          <w:b/>
          <w:bCs w:val="0"/>
          <w:color w:val="auto"/>
          <w:sz w:val="28"/>
        </w:rPr>
      </w:pPr>
    </w:p>
    <w:p w14:paraId="618224E5" w14:textId="25617579" w:rsidR="0040540D" w:rsidRPr="003617FF" w:rsidRDefault="0040540D" w:rsidP="0040540D">
      <w:pPr>
        <w:jc w:val="both"/>
        <w:rPr>
          <w:b/>
          <w:bCs w:val="0"/>
          <w:color w:val="auto"/>
          <w:sz w:val="28"/>
        </w:rPr>
      </w:pPr>
      <w:r w:rsidRPr="003617FF">
        <w:rPr>
          <w:b/>
          <w:bCs w:val="0"/>
          <w:color w:val="auto"/>
          <w:sz w:val="28"/>
        </w:rPr>
        <w:t xml:space="preserve">Scope </w:t>
      </w:r>
    </w:p>
    <w:p w14:paraId="58CE5A9A" w14:textId="77777777" w:rsidR="0040540D" w:rsidRPr="0040540D" w:rsidRDefault="0040540D" w:rsidP="0040540D">
      <w:pPr>
        <w:jc w:val="both"/>
        <w:rPr>
          <w:color w:val="auto"/>
        </w:rPr>
      </w:pPr>
      <w:r w:rsidRPr="0040540D">
        <w:rPr>
          <w:color w:val="auto"/>
        </w:rPr>
        <w:t xml:space="preserve">This policy covers all booked End-point Assessment components. </w:t>
      </w:r>
      <w:r w:rsidRPr="0040540D">
        <w:rPr>
          <w:b/>
          <w:color w:val="auto"/>
        </w:rPr>
        <w:t xml:space="preserve"> </w:t>
      </w:r>
    </w:p>
    <w:p w14:paraId="7FEB90C3" w14:textId="77777777" w:rsidR="003617FF" w:rsidRDefault="003617FF" w:rsidP="0040540D">
      <w:pPr>
        <w:jc w:val="both"/>
        <w:rPr>
          <w:color w:val="auto"/>
        </w:rPr>
      </w:pPr>
    </w:p>
    <w:p w14:paraId="7F76B7FC" w14:textId="0DB550DB" w:rsidR="0040540D" w:rsidRPr="003617FF" w:rsidRDefault="0040540D" w:rsidP="0040540D">
      <w:pPr>
        <w:jc w:val="both"/>
        <w:rPr>
          <w:b/>
          <w:bCs w:val="0"/>
          <w:color w:val="auto"/>
          <w:sz w:val="28"/>
        </w:rPr>
      </w:pPr>
      <w:r w:rsidRPr="003617FF">
        <w:rPr>
          <w:b/>
          <w:bCs w:val="0"/>
          <w:color w:val="auto"/>
          <w:sz w:val="28"/>
        </w:rPr>
        <w:t xml:space="preserve">Policy and Process </w:t>
      </w:r>
    </w:p>
    <w:p w14:paraId="087D29EC" w14:textId="77777777" w:rsidR="0040540D" w:rsidRDefault="0040540D" w:rsidP="0040540D">
      <w:pPr>
        <w:jc w:val="both"/>
        <w:rPr>
          <w:b/>
          <w:color w:val="auto"/>
        </w:rPr>
      </w:pPr>
      <w:r w:rsidRPr="0040540D">
        <w:rPr>
          <w:color w:val="auto"/>
        </w:rPr>
        <w:t>In accordance with the ESFA Rules, Innovate Awarding will charge the provider eligible costs, legitimately incurred where, due to either unforeseen circumstances or a change of circumstance the assessment does or cannot occur as planned within an agreed timeline.  For the purposes of this policy:</w:t>
      </w:r>
      <w:r w:rsidRPr="0040540D">
        <w:rPr>
          <w:b/>
          <w:color w:val="auto"/>
        </w:rPr>
        <w:t xml:space="preserve"> </w:t>
      </w:r>
    </w:p>
    <w:p w14:paraId="2C19F483" w14:textId="77777777" w:rsidR="003617FF" w:rsidRPr="0040540D" w:rsidRDefault="003617FF" w:rsidP="0040540D">
      <w:pPr>
        <w:jc w:val="both"/>
        <w:rPr>
          <w:color w:val="auto"/>
        </w:rPr>
      </w:pPr>
    </w:p>
    <w:p w14:paraId="4B8A39FE" w14:textId="1EAEC384" w:rsidR="00D36FA9" w:rsidRPr="006E2DCD" w:rsidRDefault="0040540D" w:rsidP="00AF37DF">
      <w:pPr>
        <w:pStyle w:val="ListParagraph"/>
        <w:numPr>
          <w:ilvl w:val="0"/>
          <w:numId w:val="26"/>
        </w:numPr>
        <w:ind w:left="709"/>
        <w:jc w:val="both"/>
        <w:rPr>
          <w:b/>
          <w:color w:val="auto"/>
          <w:szCs w:val="24"/>
        </w:rPr>
      </w:pPr>
      <w:r w:rsidRPr="006E2DCD">
        <w:rPr>
          <w:color w:val="auto"/>
          <w:szCs w:val="24"/>
        </w:rPr>
        <w:t>This relates to situations where the Apprentice or End-point Assessor fails to attend the scheduled assessment or if the assessment is cancelled after 5PM on the day prior to the scheduled assessment</w:t>
      </w:r>
    </w:p>
    <w:p w14:paraId="484A73E4" w14:textId="45F25757" w:rsidR="0040540D" w:rsidRPr="006E2DCD" w:rsidRDefault="0040540D" w:rsidP="006E2DCD">
      <w:pPr>
        <w:pStyle w:val="ListParagraph"/>
        <w:numPr>
          <w:ilvl w:val="0"/>
          <w:numId w:val="23"/>
        </w:numPr>
        <w:jc w:val="both"/>
        <w:rPr>
          <w:color w:val="auto"/>
          <w:szCs w:val="24"/>
        </w:rPr>
      </w:pPr>
      <w:r w:rsidRPr="006E2DCD">
        <w:rPr>
          <w:color w:val="auto"/>
          <w:szCs w:val="24"/>
        </w:rPr>
        <w:t xml:space="preserve">Costs are shown in the cancellation and non-attendance charge list published on </w:t>
      </w:r>
      <w:r w:rsidR="003617FF" w:rsidRPr="006E2DCD">
        <w:rPr>
          <w:color w:val="auto"/>
          <w:szCs w:val="24"/>
        </w:rPr>
        <w:t>Proficient</w:t>
      </w:r>
      <w:r w:rsidRPr="006E2DCD">
        <w:rPr>
          <w:b/>
          <w:color w:val="auto"/>
          <w:szCs w:val="24"/>
        </w:rPr>
        <w:t xml:space="preserve"> </w:t>
      </w:r>
    </w:p>
    <w:p w14:paraId="6B4CC6DF" w14:textId="10E941E1" w:rsidR="0040540D" w:rsidRPr="006E2DCD" w:rsidRDefault="0040540D" w:rsidP="006E2DCD">
      <w:pPr>
        <w:pStyle w:val="ListParagraph"/>
        <w:numPr>
          <w:ilvl w:val="0"/>
          <w:numId w:val="23"/>
        </w:numPr>
        <w:jc w:val="both"/>
        <w:rPr>
          <w:color w:val="auto"/>
          <w:szCs w:val="24"/>
        </w:rPr>
      </w:pPr>
      <w:r w:rsidRPr="006E2DCD">
        <w:rPr>
          <w:color w:val="auto"/>
          <w:szCs w:val="24"/>
        </w:rPr>
        <w:t xml:space="preserve">An abandoned assessment caused by the apprentice not attending or cancelling after 5pm on the day prior to the assessment without </w:t>
      </w:r>
      <w:proofErr w:type="gramStart"/>
      <w:r w:rsidRPr="006E2DCD">
        <w:rPr>
          <w:color w:val="auto"/>
          <w:szCs w:val="24"/>
        </w:rPr>
        <w:t>exceptional</w:t>
      </w:r>
      <w:proofErr w:type="gramEnd"/>
      <w:r w:rsidRPr="006E2DCD">
        <w:rPr>
          <w:color w:val="auto"/>
          <w:szCs w:val="24"/>
        </w:rPr>
        <w:t xml:space="preserve"> </w:t>
      </w:r>
    </w:p>
    <w:p w14:paraId="7B763911" w14:textId="77777777" w:rsidR="0040540D" w:rsidRPr="006E2DCD" w:rsidRDefault="0040540D" w:rsidP="006E2DCD">
      <w:pPr>
        <w:pStyle w:val="ListParagraph"/>
        <w:numPr>
          <w:ilvl w:val="0"/>
          <w:numId w:val="25"/>
        </w:numPr>
        <w:jc w:val="both"/>
        <w:rPr>
          <w:color w:val="auto"/>
          <w:szCs w:val="24"/>
        </w:rPr>
      </w:pPr>
      <w:r w:rsidRPr="006E2DCD">
        <w:rPr>
          <w:color w:val="auto"/>
          <w:szCs w:val="24"/>
        </w:rPr>
        <w:t xml:space="preserve">circumstances submitted will also result in a failed assessment being recorded and the potential of the overall attainment being capped at a lower level than the highest possible attainment available  </w:t>
      </w:r>
      <w:r w:rsidRPr="006E2DCD">
        <w:rPr>
          <w:b/>
          <w:color w:val="auto"/>
          <w:szCs w:val="24"/>
        </w:rPr>
        <w:t xml:space="preserve"> </w:t>
      </w:r>
    </w:p>
    <w:p w14:paraId="01783C4A" w14:textId="4AA5A6E7" w:rsidR="0040540D" w:rsidRPr="006E2DCD" w:rsidRDefault="0040540D" w:rsidP="006E2DCD">
      <w:pPr>
        <w:pStyle w:val="ListParagraph"/>
        <w:numPr>
          <w:ilvl w:val="0"/>
          <w:numId w:val="25"/>
        </w:numPr>
        <w:jc w:val="both"/>
        <w:rPr>
          <w:color w:val="auto"/>
          <w:szCs w:val="24"/>
        </w:rPr>
      </w:pPr>
      <w:r w:rsidRPr="006E2DCD">
        <w:rPr>
          <w:color w:val="auto"/>
          <w:szCs w:val="24"/>
        </w:rPr>
        <w:t xml:space="preserve">Should the abandoned assessment be caused by Innovate Awarding an amount for the reasonable costs incurred by the employer in scheduling and making available the Apprentice will be refunded in full and the assessment rescheduled based upon the charges shown in the cancellation charge list. The component will be rescheduled as a priority. </w:t>
      </w:r>
      <w:r w:rsidRPr="006E2DCD">
        <w:rPr>
          <w:b/>
          <w:color w:val="auto"/>
          <w:szCs w:val="24"/>
        </w:rPr>
        <w:t xml:space="preserve"> </w:t>
      </w:r>
    </w:p>
    <w:p w14:paraId="7CAD80C7" w14:textId="77777777" w:rsidR="0040540D" w:rsidRPr="0040540D" w:rsidRDefault="0040540D" w:rsidP="0040540D">
      <w:pPr>
        <w:jc w:val="both"/>
        <w:rPr>
          <w:color w:val="auto"/>
        </w:rPr>
      </w:pPr>
      <w:r w:rsidRPr="0040540D">
        <w:rPr>
          <w:b/>
          <w:color w:val="auto"/>
        </w:rPr>
        <w:t xml:space="preserve"> </w:t>
      </w:r>
    </w:p>
    <w:p w14:paraId="613E3371" w14:textId="77777777" w:rsidR="003617FF" w:rsidRDefault="0040540D" w:rsidP="0040540D">
      <w:pPr>
        <w:jc w:val="both"/>
        <w:rPr>
          <w:color w:val="auto"/>
        </w:rPr>
      </w:pPr>
      <w:r w:rsidRPr="0040540D">
        <w:rPr>
          <w:color w:val="auto"/>
        </w:rPr>
        <w:t xml:space="preserve">If the apprentice fails to attend a scheduled End-point Assessment for the same assessment element, or the assessment is cancelled after 5pm on the day prior to the scheduled assessment on the second occasion the apprentice will be suspended. The EPA will add the non-attendance to </w:t>
      </w:r>
      <w:r w:rsidR="003617FF">
        <w:rPr>
          <w:color w:val="auto"/>
        </w:rPr>
        <w:t>Proficient</w:t>
      </w:r>
      <w:r w:rsidRPr="0040540D">
        <w:rPr>
          <w:color w:val="auto"/>
        </w:rPr>
        <w:t xml:space="preserve"> as normal and add a note to the apprentice’s profile on </w:t>
      </w:r>
      <w:r w:rsidR="003617FF">
        <w:rPr>
          <w:color w:val="auto"/>
        </w:rPr>
        <w:t>Proficient</w:t>
      </w:r>
      <w:r w:rsidRPr="0040540D">
        <w:rPr>
          <w:color w:val="auto"/>
        </w:rPr>
        <w:t>. The EPA must then email compliance requesting suspension providing the reason why and</w:t>
      </w:r>
      <w:r w:rsidRPr="0040540D">
        <w:rPr>
          <w:rFonts w:eastAsia="Tahoma" w:cs="Tahoma"/>
          <w:bCs w:val="0"/>
          <w:color w:val="000000"/>
          <w:kern w:val="2"/>
          <w:sz w:val="22"/>
          <w:szCs w:val="24"/>
          <w:lang w:eastAsia="en-GB"/>
          <w14:ligatures w14:val="standardContextual"/>
        </w:rPr>
        <w:t xml:space="preserve"> </w:t>
      </w:r>
      <w:r w:rsidRPr="0040540D">
        <w:rPr>
          <w:color w:val="auto"/>
        </w:rPr>
        <w:t xml:space="preserve">email the on-programme assessor informing </w:t>
      </w:r>
      <w:r w:rsidRPr="0040540D">
        <w:rPr>
          <w:color w:val="auto"/>
        </w:rPr>
        <w:lastRenderedPageBreak/>
        <w:t xml:space="preserve">them of the suspension and reason for suspension. This is in line with the  </w:t>
      </w:r>
      <w:r w:rsidRPr="0040540D">
        <w:rPr>
          <w:b/>
          <w:color w:val="auto"/>
        </w:rPr>
        <w:t xml:space="preserve">‘Back into Learning’, ‘Suspended’ &amp; return to ’In Assessment’ process &amp; policy </w:t>
      </w:r>
      <w:r w:rsidRPr="0040540D">
        <w:rPr>
          <w:color w:val="auto"/>
        </w:rPr>
        <w:t xml:space="preserve"> </w:t>
      </w:r>
    </w:p>
    <w:p w14:paraId="34670168" w14:textId="77777777" w:rsidR="003617FF" w:rsidRDefault="003617FF" w:rsidP="0040540D">
      <w:pPr>
        <w:jc w:val="both"/>
        <w:rPr>
          <w:color w:val="auto"/>
        </w:rPr>
      </w:pPr>
    </w:p>
    <w:p w14:paraId="762493CE" w14:textId="2A48580F" w:rsidR="0040540D" w:rsidRPr="003617FF" w:rsidRDefault="0040540D" w:rsidP="0040540D">
      <w:pPr>
        <w:jc w:val="both"/>
        <w:rPr>
          <w:b/>
          <w:bCs w:val="0"/>
          <w:color w:val="auto"/>
          <w:sz w:val="28"/>
        </w:rPr>
      </w:pPr>
      <w:r w:rsidRPr="003617FF">
        <w:rPr>
          <w:b/>
          <w:bCs w:val="0"/>
          <w:color w:val="auto"/>
          <w:sz w:val="28"/>
        </w:rPr>
        <w:t xml:space="preserve">Key Contacts </w:t>
      </w:r>
    </w:p>
    <w:p w14:paraId="74472CDC" w14:textId="4B3E505A" w:rsidR="0040540D" w:rsidRDefault="0040540D" w:rsidP="0040540D">
      <w:pPr>
        <w:pStyle w:val="NoSpacing"/>
        <w:rPr>
          <w:b/>
        </w:rPr>
      </w:pPr>
      <w:r w:rsidRPr="0040540D">
        <w:t>For further information on withdrawal processes, please contact</w:t>
      </w:r>
      <w:r>
        <w:t xml:space="preserve"> </w:t>
      </w:r>
      <w:hyperlink r:id="rId11" w:history="1">
        <w:r w:rsidRPr="00E16BC8">
          <w:rPr>
            <w:rStyle w:val="Hyperlink"/>
          </w:rPr>
          <w:t>epa@innovateawarding.org</w:t>
        </w:r>
      </w:hyperlink>
      <w:r w:rsidRPr="0040540D">
        <w:rPr>
          <w:b/>
        </w:rPr>
        <w:t xml:space="preserve"> </w:t>
      </w:r>
    </w:p>
    <w:p w14:paraId="4325F075" w14:textId="77777777" w:rsidR="0040540D" w:rsidRDefault="0040540D" w:rsidP="0040540D">
      <w:pPr>
        <w:pStyle w:val="NoSpacing"/>
        <w:rPr>
          <w:b/>
        </w:rPr>
      </w:pPr>
    </w:p>
    <w:p w14:paraId="065AE7A8" w14:textId="77777777" w:rsidR="0040540D" w:rsidRPr="003617FF" w:rsidRDefault="0040540D" w:rsidP="0040540D">
      <w:pPr>
        <w:pStyle w:val="NoSpacing"/>
        <w:rPr>
          <w:b/>
          <w:sz w:val="28"/>
        </w:rPr>
      </w:pPr>
      <w:r w:rsidRPr="003617FF">
        <w:rPr>
          <w:b/>
          <w:sz w:val="28"/>
        </w:rPr>
        <w:t xml:space="preserve">Exceptional Circumstances  </w:t>
      </w:r>
    </w:p>
    <w:p w14:paraId="6875C057" w14:textId="77777777" w:rsidR="0040540D" w:rsidRPr="0040540D" w:rsidRDefault="0040540D" w:rsidP="0040540D">
      <w:pPr>
        <w:pStyle w:val="NoSpacing"/>
        <w:rPr>
          <w:bCs w:val="0"/>
        </w:rPr>
      </w:pPr>
      <w:r w:rsidRPr="0040540D">
        <w:rPr>
          <w:bCs w:val="0"/>
        </w:rPr>
        <w:t xml:space="preserve"> </w:t>
      </w:r>
    </w:p>
    <w:p w14:paraId="0860BF2C" w14:textId="77777777" w:rsidR="0040540D" w:rsidRPr="0040540D" w:rsidRDefault="0040540D" w:rsidP="00AF37DF">
      <w:pPr>
        <w:pStyle w:val="NoSpacing"/>
        <w:jc w:val="both"/>
        <w:rPr>
          <w:bCs w:val="0"/>
        </w:rPr>
      </w:pPr>
      <w:r w:rsidRPr="0040540D">
        <w:rPr>
          <w:bCs w:val="0"/>
        </w:rPr>
        <w:t xml:space="preserve">Where exceptional circumstances exist for cancelled or abandoned assessments, Innovate Awarding will review these and where agreed plan for these circumstances. These will be reviewed on a case-by-case basis and agreed by the Regulation and Compliance Manager in coordination with the EPA Manager for the sector. For cancellations or abandoned assessment to be considered as having exceptional circumstances, they must be submitted via a special consideration form to </w:t>
      </w:r>
      <w:r w:rsidRPr="0040540D">
        <w:rPr>
          <w:bCs w:val="0"/>
          <w:u w:val="single"/>
        </w:rPr>
        <w:t>compliance@innovateawarding.org</w:t>
      </w:r>
      <w:r w:rsidRPr="0040540D">
        <w:rPr>
          <w:bCs w:val="0"/>
        </w:rPr>
        <w:t xml:space="preserve"> </w:t>
      </w:r>
    </w:p>
    <w:p w14:paraId="23001599" w14:textId="77777777" w:rsidR="0040540D" w:rsidRPr="0040540D" w:rsidRDefault="0040540D" w:rsidP="0040540D">
      <w:pPr>
        <w:pStyle w:val="NoSpacing"/>
      </w:pPr>
    </w:p>
    <w:p w14:paraId="54CA9F48" w14:textId="6990EAD5" w:rsidR="000B20AE" w:rsidRPr="0040540D" w:rsidRDefault="000B20AE" w:rsidP="0040540D">
      <w:pPr>
        <w:jc w:val="both"/>
        <w:rPr>
          <w:color w:val="auto"/>
        </w:rPr>
      </w:pPr>
    </w:p>
    <w:sectPr w:rsidR="000B20AE" w:rsidRPr="0040540D">
      <w:headerReference w:type="even" r:id="rId12"/>
      <w:headerReference w:type="default" r:id="rId13"/>
      <w:footerReference w:type="even"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DC1E" w14:textId="77777777" w:rsidR="001B7BB1" w:rsidRDefault="001B7BB1" w:rsidP="00185D5C">
      <w:r>
        <w:separator/>
      </w:r>
    </w:p>
  </w:endnote>
  <w:endnote w:type="continuationSeparator" w:id="0">
    <w:p w14:paraId="0688D118" w14:textId="77777777" w:rsidR="001B7BB1" w:rsidRDefault="001B7BB1" w:rsidP="0018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Loew">
    <w:panose1 w:val="00000000000000000000"/>
    <w:charset w:val="4D"/>
    <w:family w:val="auto"/>
    <w:notTrueType/>
    <w:pitch w:val="variable"/>
    <w:sig w:usb0="20000007" w:usb1="00000001" w:usb2="00000000" w:usb3="00000000" w:csb0="000001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4245617"/>
      <w:docPartObj>
        <w:docPartGallery w:val="Page Numbers (Bottom of Page)"/>
        <w:docPartUnique/>
      </w:docPartObj>
    </w:sdtPr>
    <w:sdtContent>
      <w:p w14:paraId="13EE3E89" w14:textId="77777777" w:rsidR="00FF4162" w:rsidRDefault="00FF4162" w:rsidP="00E93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1CE95" w14:textId="77777777" w:rsidR="00FF4162" w:rsidRDefault="00FF4162" w:rsidP="00FF41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sz w:val="16"/>
        <w:szCs w:val="18"/>
      </w:rPr>
      <w:id w:val="-625927474"/>
      <w:docPartObj>
        <w:docPartGallery w:val="Page Numbers (Bottom of Page)"/>
        <w:docPartUnique/>
      </w:docPartObj>
    </w:sdtPr>
    <w:sdtContent>
      <w:p w14:paraId="33600268" w14:textId="77777777" w:rsidR="002A2D21" w:rsidRDefault="003849E1" w:rsidP="006D47F8">
        <w:pPr>
          <w:pStyle w:val="Footer"/>
          <w:framePr w:w="1717" w:h="903" w:hRule="exact" w:wrap="none" w:vAnchor="text" w:hAnchor="page" w:x="9454" w:y="-299"/>
          <w:jc w:val="right"/>
          <w:rPr>
            <w:rStyle w:val="PageNumber"/>
            <w:b/>
            <w:bCs w:val="0"/>
            <w:color w:val="FFFFFF" w:themeColor="background1"/>
            <w:sz w:val="16"/>
            <w:szCs w:val="18"/>
          </w:rPr>
        </w:pPr>
        <w:r w:rsidRPr="003849E1">
          <w:rPr>
            <w:rStyle w:val="PageNumber"/>
            <w:color w:val="FFFFFF" w:themeColor="background1"/>
            <w:sz w:val="16"/>
            <w:szCs w:val="18"/>
          </w:rPr>
          <w:t xml:space="preserve">Page </w:t>
        </w:r>
        <w:r w:rsidRPr="003849E1">
          <w:rPr>
            <w:rStyle w:val="PageNumber"/>
            <w:b/>
            <w:bCs w:val="0"/>
            <w:color w:val="FFFFFF" w:themeColor="background1"/>
            <w:sz w:val="16"/>
            <w:szCs w:val="18"/>
          </w:rPr>
          <w:fldChar w:fldCharType="begin"/>
        </w:r>
        <w:r w:rsidRPr="003849E1">
          <w:rPr>
            <w:rStyle w:val="PageNumber"/>
            <w:b/>
            <w:bCs w:val="0"/>
            <w:color w:val="FFFFFF" w:themeColor="background1"/>
            <w:sz w:val="16"/>
            <w:szCs w:val="18"/>
          </w:rPr>
          <w:instrText>PAGE  \* Arabic  \* MERGEFORMAT</w:instrText>
        </w:r>
        <w:r w:rsidRPr="003849E1">
          <w:rPr>
            <w:rStyle w:val="PageNumber"/>
            <w:b/>
            <w:bCs w:val="0"/>
            <w:color w:val="FFFFFF" w:themeColor="background1"/>
            <w:sz w:val="16"/>
            <w:szCs w:val="18"/>
          </w:rPr>
          <w:fldChar w:fldCharType="separate"/>
        </w:r>
        <w:r w:rsidRPr="003849E1">
          <w:rPr>
            <w:rStyle w:val="PageNumber"/>
            <w:b/>
            <w:bCs w:val="0"/>
            <w:color w:val="FFFFFF" w:themeColor="background1"/>
            <w:sz w:val="16"/>
            <w:szCs w:val="18"/>
          </w:rPr>
          <w:t>1</w:t>
        </w:r>
        <w:r w:rsidRPr="003849E1">
          <w:rPr>
            <w:rStyle w:val="PageNumber"/>
            <w:b/>
            <w:bCs w:val="0"/>
            <w:color w:val="FFFFFF" w:themeColor="background1"/>
            <w:sz w:val="16"/>
            <w:szCs w:val="18"/>
          </w:rPr>
          <w:fldChar w:fldCharType="end"/>
        </w:r>
        <w:r w:rsidRPr="003849E1">
          <w:rPr>
            <w:rStyle w:val="PageNumber"/>
            <w:color w:val="FFFFFF" w:themeColor="background1"/>
            <w:sz w:val="16"/>
            <w:szCs w:val="18"/>
          </w:rPr>
          <w:t xml:space="preserve"> of </w:t>
        </w:r>
        <w:r w:rsidRPr="003849E1">
          <w:rPr>
            <w:rStyle w:val="PageNumber"/>
            <w:b/>
            <w:bCs w:val="0"/>
            <w:color w:val="FFFFFF" w:themeColor="background1"/>
            <w:sz w:val="16"/>
            <w:szCs w:val="18"/>
          </w:rPr>
          <w:fldChar w:fldCharType="begin"/>
        </w:r>
        <w:r w:rsidRPr="003849E1">
          <w:rPr>
            <w:rStyle w:val="PageNumber"/>
            <w:b/>
            <w:bCs w:val="0"/>
            <w:color w:val="FFFFFF" w:themeColor="background1"/>
            <w:sz w:val="16"/>
            <w:szCs w:val="18"/>
          </w:rPr>
          <w:instrText>NUMPAGES  \* Arabic  \* MERGEFORMAT</w:instrText>
        </w:r>
        <w:r w:rsidRPr="003849E1">
          <w:rPr>
            <w:rStyle w:val="PageNumber"/>
            <w:b/>
            <w:bCs w:val="0"/>
            <w:color w:val="FFFFFF" w:themeColor="background1"/>
            <w:sz w:val="16"/>
            <w:szCs w:val="18"/>
          </w:rPr>
          <w:fldChar w:fldCharType="separate"/>
        </w:r>
        <w:r w:rsidRPr="003849E1">
          <w:rPr>
            <w:rStyle w:val="PageNumber"/>
            <w:b/>
            <w:bCs w:val="0"/>
            <w:color w:val="FFFFFF" w:themeColor="background1"/>
            <w:sz w:val="16"/>
            <w:szCs w:val="18"/>
          </w:rPr>
          <w:t>2</w:t>
        </w:r>
        <w:r w:rsidRPr="003849E1">
          <w:rPr>
            <w:rStyle w:val="PageNumber"/>
            <w:b/>
            <w:bCs w:val="0"/>
            <w:color w:val="FFFFFF" w:themeColor="background1"/>
            <w:sz w:val="16"/>
            <w:szCs w:val="18"/>
          </w:rPr>
          <w:fldChar w:fldCharType="end"/>
        </w:r>
      </w:p>
      <w:p w14:paraId="1CC353FE" w14:textId="77777777" w:rsidR="006D47F8" w:rsidRDefault="006D47F8" w:rsidP="002A2D21">
        <w:pPr>
          <w:pStyle w:val="Footer"/>
          <w:framePr w:w="1717" w:h="903" w:hRule="exact" w:wrap="none" w:vAnchor="text" w:hAnchor="page" w:x="9454" w:y="-299"/>
          <w:rPr>
            <w:rStyle w:val="PageNumber"/>
            <w:b/>
            <w:bCs w:val="0"/>
            <w:color w:val="FFFFFF" w:themeColor="background1"/>
            <w:sz w:val="16"/>
            <w:szCs w:val="18"/>
          </w:rPr>
        </w:pPr>
      </w:p>
      <w:p w14:paraId="59F5067E" w14:textId="7DF3C80A" w:rsidR="006D47F8" w:rsidRPr="00B73C2C" w:rsidRDefault="006D47F8" w:rsidP="006D47F8">
        <w:pPr>
          <w:framePr w:w="1717" w:h="903" w:hRule="exact" w:wrap="none" w:vAnchor="text" w:hAnchor="page" w:x="9454" w:y="-299"/>
          <w:jc w:val="right"/>
          <w:rPr>
            <w:rFonts w:cs="Tahoma"/>
            <w:color w:val="FFFFFF" w:themeColor="background1"/>
            <w:sz w:val="16"/>
            <w:szCs w:val="16"/>
          </w:rPr>
        </w:pPr>
        <w:r w:rsidRPr="00B73C2C">
          <w:rPr>
            <w:rFonts w:cs="Tahoma"/>
            <w:color w:val="FFFFFF" w:themeColor="background1"/>
            <w:sz w:val="16"/>
            <w:szCs w:val="16"/>
          </w:rPr>
          <w:t>Copyright © 202</w:t>
        </w:r>
        <w:r w:rsidR="00EF7915">
          <w:rPr>
            <w:rFonts w:cs="Tahoma"/>
            <w:color w:val="FFFFFF" w:themeColor="background1"/>
            <w:sz w:val="16"/>
            <w:szCs w:val="16"/>
          </w:rPr>
          <w:t>6</w:t>
        </w:r>
      </w:p>
      <w:p w14:paraId="2806F561" w14:textId="77777777" w:rsidR="006D47F8" w:rsidRPr="00B73C2C" w:rsidRDefault="006D47F8" w:rsidP="006D47F8">
        <w:pPr>
          <w:framePr w:w="1717" w:h="903" w:hRule="exact" w:wrap="none" w:vAnchor="text" w:hAnchor="page" w:x="9454" w:y="-299"/>
          <w:jc w:val="right"/>
          <w:rPr>
            <w:rFonts w:cs="Tahoma"/>
            <w:color w:val="FFFFFF" w:themeColor="background1"/>
          </w:rPr>
        </w:pPr>
        <w:r w:rsidRPr="00B73C2C">
          <w:rPr>
            <w:rFonts w:cs="Tahoma"/>
            <w:color w:val="FFFFFF" w:themeColor="background1"/>
            <w:sz w:val="16"/>
            <w:szCs w:val="16"/>
          </w:rPr>
          <w:t xml:space="preserve"> Innovate Awarding Ltd</w:t>
        </w:r>
      </w:p>
      <w:p w14:paraId="65B76AE0" w14:textId="02488697" w:rsidR="00FF4162" w:rsidRPr="003849E1" w:rsidRDefault="00000000" w:rsidP="002A2D21">
        <w:pPr>
          <w:pStyle w:val="Footer"/>
          <w:framePr w:w="1717" w:h="903" w:hRule="exact" w:wrap="none" w:vAnchor="text" w:hAnchor="page" w:x="9454" w:y="-299"/>
          <w:rPr>
            <w:rStyle w:val="PageNumber"/>
            <w:color w:val="FFFFFF" w:themeColor="background1"/>
            <w:sz w:val="16"/>
            <w:szCs w:val="18"/>
          </w:rPr>
        </w:pPr>
      </w:p>
    </w:sdtContent>
  </w:sdt>
  <w:p w14:paraId="488BFDEC" w14:textId="61BDBFCB" w:rsidR="00147A35" w:rsidRPr="00A22F20" w:rsidRDefault="00A22F20" w:rsidP="00FF4162">
    <w:pPr>
      <w:pStyle w:val="Footer"/>
      <w:ind w:right="360"/>
      <w:rPr>
        <w:sz w:val="21"/>
        <w:szCs w:val="24"/>
      </w:rPr>
    </w:pPr>
    <w:r w:rsidRPr="00A22F20">
      <w:rPr>
        <w:noProof/>
        <w:sz w:val="21"/>
        <w:szCs w:val="24"/>
      </w:rPr>
      <w:drawing>
        <wp:anchor distT="0" distB="0" distL="114300" distR="114300" simplePos="0" relativeHeight="251657216" behindDoc="1" locked="0" layoutInCell="1" allowOverlap="1" wp14:anchorId="4C6FC8EE" wp14:editId="7B126EC4">
          <wp:simplePos x="0" y="0"/>
          <wp:positionH relativeFrom="column">
            <wp:posOffset>4293456</wp:posOffset>
          </wp:positionH>
          <wp:positionV relativeFrom="paragraph">
            <wp:posOffset>-1045956</wp:posOffset>
          </wp:positionV>
          <wp:extent cx="2459037" cy="3364511"/>
          <wp:effectExtent l="0" t="71755" r="269875" b="8032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rot="13812429">
                    <a:off x="0" y="0"/>
                    <a:ext cx="2459037" cy="3364511"/>
                  </a:xfrm>
                  <a:prstGeom prst="rect">
                    <a:avLst/>
                  </a:prstGeom>
                </pic:spPr>
              </pic:pic>
            </a:graphicData>
          </a:graphic>
          <wp14:sizeRelH relativeFrom="page">
            <wp14:pctWidth>0</wp14:pctWidth>
          </wp14:sizeRelH>
          <wp14:sizeRelV relativeFrom="page">
            <wp14:pctHeight>0</wp14:pctHeight>
          </wp14:sizeRelV>
        </wp:anchor>
      </w:drawing>
    </w:r>
    <w:r w:rsidR="00B73D1D">
      <w:rPr>
        <w:sz w:val="21"/>
        <w:szCs w:val="24"/>
      </w:rPr>
      <w:t>Operations</w:t>
    </w:r>
    <w:r w:rsidR="00EF7915">
      <w:rPr>
        <w:sz w:val="21"/>
        <w:szCs w:val="24"/>
      </w:rPr>
      <w:t>/V</w:t>
    </w:r>
    <w:r w:rsidR="003617FF">
      <w:rPr>
        <w:sz w:val="21"/>
        <w:szCs w:val="24"/>
      </w:rPr>
      <w:t>9</w:t>
    </w:r>
    <w:r w:rsidR="00EF7915">
      <w:rPr>
        <w:sz w:val="21"/>
        <w:szCs w:val="24"/>
      </w:rPr>
      <w:t>/</w:t>
    </w:r>
    <w:r w:rsidR="00FB28EA">
      <w:rPr>
        <w:sz w:val="21"/>
        <w:szCs w:val="24"/>
      </w:rPr>
      <w:t>23</w:t>
    </w:r>
    <w:r w:rsidR="003E4318">
      <w:rPr>
        <w:sz w:val="21"/>
        <w:szCs w:val="24"/>
      </w:rPr>
      <w:t>.</w:t>
    </w:r>
    <w:r w:rsidR="00B73D1D">
      <w:rPr>
        <w:sz w:val="21"/>
        <w:szCs w:val="24"/>
      </w:rPr>
      <w:t>0</w:t>
    </w:r>
    <w:r w:rsidR="00862545">
      <w:rPr>
        <w:sz w:val="21"/>
        <w:szCs w:val="24"/>
      </w:rPr>
      <w:t>6</w:t>
    </w:r>
    <w:r w:rsidR="00F01C45">
      <w:rPr>
        <w:sz w:val="21"/>
        <w:szCs w:val="24"/>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FC33" w14:textId="77777777" w:rsidR="001B7BB1" w:rsidRDefault="001B7BB1" w:rsidP="00185D5C">
      <w:r>
        <w:separator/>
      </w:r>
    </w:p>
  </w:footnote>
  <w:footnote w:type="continuationSeparator" w:id="0">
    <w:p w14:paraId="125134C2" w14:textId="77777777" w:rsidR="001B7BB1" w:rsidRDefault="001B7BB1" w:rsidP="0018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A52C" w14:textId="77777777" w:rsidR="00185D5C" w:rsidRDefault="00185D5C">
    <w:pPr>
      <w:pStyle w:val="Header"/>
    </w:pPr>
    <w:r>
      <w:rPr>
        <w:noProof/>
      </w:rPr>
      <mc:AlternateContent>
        <mc:Choice Requires="wps">
          <w:drawing>
            <wp:anchor distT="0" distB="0" distL="0" distR="0" simplePos="0" relativeHeight="251658240" behindDoc="0" locked="0" layoutInCell="1" allowOverlap="1" wp14:anchorId="1B436662" wp14:editId="0D305230">
              <wp:simplePos x="635" y="635"/>
              <wp:positionH relativeFrom="page">
                <wp:align>center</wp:align>
              </wp:positionH>
              <wp:positionV relativeFrom="page">
                <wp:align>top</wp:align>
              </wp:positionV>
              <wp:extent cx="443865" cy="443865"/>
              <wp:effectExtent l="0" t="0" r="4445" b="11430"/>
              <wp:wrapNone/>
              <wp:docPr id="2" name="Text Box 2" descr="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13D10" w14:textId="77777777" w:rsidR="00185D5C" w:rsidRPr="00185D5C" w:rsidRDefault="00185D5C" w:rsidP="00185D5C">
                          <w:pPr>
                            <w:rPr>
                              <w:rFonts w:ascii="Calibri" w:eastAsia="Calibri" w:hAnsi="Calibri" w:cs="Calibri"/>
                              <w:noProof/>
                              <w:color w:val="0000FF"/>
                              <w:sz w:val="28"/>
                            </w:rPr>
                          </w:pPr>
                          <w:r w:rsidRPr="00185D5C">
                            <w:rPr>
                              <w:rFonts w:ascii="Calibri" w:eastAsia="Calibri" w:hAnsi="Calibri" w:cs="Calibri"/>
                              <w:noProof/>
                              <w:color w:val="0000FF"/>
                              <w:sz w:val="28"/>
                            </w:rPr>
                            <w:t>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36662" id="_x0000_t202" coordsize="21600,21600" o:spt="202" path="m,l,21600r21600,l21600,xe">
              <v:stroke joinstyle="miter"/>
              <v:path gradientshapeok="t" o:connecttype="rect"/>
            </v:shapetype>
            <v:shape id="Text Box 2" o:spid="_x0000_s1026" type="#_x0000_t202" alt="Internal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C913D10" w14:textId="77777777" w:rsidR="00185D5C" w:rsidRPr="00185D5C" w:rsidRDefault="00185D5C" w:rsidP="00185D5C">
                    <w:pPr>
                      <w:rPr>
                        <w:rFonts w:ascii="Calibri" w:eastAsia="Calibri" w:hAnsi="Calibri" w:cs="Calibri"/>
                        <w:noProof/>
                        <w:color w:val="0000FF"/>
                        <w:sz w:val="28"/>
                      </w:rPr>
                    </w:pPr>
                    <w:r w:rsidRPr="00185D5C">
                      <w:rPr>
                        <w:rFonts w:ascii="Calibri" w:eastAsia="Calibri" w:hAnsi="Calibri" w:cs="Calibri"/>
                        <w:noProof/>
                        <w:color w:val="0000FF"/>
                        <w:sz w:val="28"/>
                      </w:rPr>
                      <w:t>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3F0E" w14:textId="149921CE" w:rsidR="00A22F20" w:rsidRDefault="00A22F20">
    <w:pPr>
      <w:pStyle w:val="Header"/>
    </w:pPr>
    <w:r>
      <w:rPr>
        <w:noProof/>
      </w:rPr>
      <w:drawing>
        <wp:anchor distT="0" distB="0" distL="114300" distR="114300" simplePos="0" relativeHeight="251659264" behindDoc="1" locked="0" layoutInCell="1" allowOverlap="1" wp14:anchorId="56115DA2" wp14:editId="11CDAE04">
          <wp:simplePos x="0" y="0"/>
          <wp:positionH relativeFrom="column">
            <wp:posOffset>4599160</wp:posOffset>
          </wp:positionH>
          <wp:positionV relativeFrom="paragraph">
            <wp:posOffset>-87360</wp:posOffset>
          </wp:positionV>
          <wp:extent cx="1656784" cy="466418"/>
          <wp:effectExtent l="0" t="0" r="0" b="3810"/>
          <wp:wrapTight wrapText="bothSides">
            <wp:wrapPolygon edited="0">
              <wp:start x="1821" y="0"/>
              <wp:lineTo x="0" y="7063"/>
              <wp:lineTo x="0" y="14125"/>
              <wp:lineTo x="1656" y="18834"/>
              <wp:lineTo x="1821" y="21188"/>
              <wp:lineTo x="4140" y="21188"/>
              <wp:lineTo x="4305" y="18834"/>
              <wp:lineTo x="21360" y="15891"/>
              <wp:lineTo x="21360" y="7063"/>
              <wp:lineTo x="18379" y="5297"/>
              <wp:lineTo x="4140" y="0"/>
              <wp:lineTo x="1821" y="0"/>
            </wp:wrapPolygon>
          </wp:wrapTight>
          <wp:docPr id="1196440570" name="Picture 1" descr="A black background with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40570" name="Picture 1" descr="A black background with red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6784" cy="4664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A5AD" w14:textId="77777777" w:rsidR="00185D5C" w:rsidRDefault="00185D5C">
    <w:pPr>
      <w:pStyle w:val="Header"/>
    </w:pPr>
    <w:r>
      <w:rPr>
        <w:noProof/>
      </w:rPr>
      <mc:AlternateContent>
        <mc:Choice Requires="wps">
          <w:drawing>
            <wp:anchor distT="0" distB="0" distL="0" distR="0" simplePos="0" relativeHeight="251656192" behindDoc="0" locked="0" layoutInCell="1" allowOverlap="1" wp14:anchorId="141025F7" wp14:editId="56E71B62">
              <wp:simplePos x="635" y="635"/>
              <wp:positionH relativeFrom="page">
                <wp:align>center</wp:align>
              </wp:positionH>
              <wp:positionV relativeFrom="page">
                <wp:align>top</wp:align>
              </wp:positionV>
              <wp:extent cx="443865" cy="443865"/>
              <wp:effectExtent l="0" t="0" r="4445" b="11430"/>
              <wp:wrapNone/>
              <wp:docPr id="1" name="Text Box 1" descr="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63DC5" w14:textId="77777777" w:rsidR="00185D5C" w:rsidRPr="00185D5C" w:rsidRDefault="00185D5C" w:rsidP="00185D5C">
                          <w:pPr>
                            <w:rPr>
                              <w:rFonts w:ascii="Calibri" w:eastAsia="Calibri" w:hAnsi="Calibri" w:cs="Calibri"/>
                              <w:noProof/>
                              <w:color w:val="0000FF"/>
                              <w:sz w:val="28"/>
                            </w:rPr>
                          </w:pPr>
                          <w:r w:rsidRPr="00185D5C">
                            <w:rPr>
                              <w:rFonts w:ascii="Calibri" w:eastAsia="Calibri" w:hAnsi="Calibri" w:cs="Calibri"/>
                              <w:noProof/>
                              <w:color w:val="0000FF"/>
                              <w:sz w:val="28"/>
                            </w:rPr>
                            <w:t>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1025F7" id="_x0000_t202" coordsize="21600,21600" o:spt="202" path="m,l,21600r21600,l21600,xe">
              <v:stroke joinstyle="miter"/>
              <v:path gradientshapeok="t" o:connecttype="rect"/>
            </v:shapetype>
            <v:shape id="Text Box 1" o:spid="_x0000_s1027" type="#_x0000_t202" alt="Internal Use Only"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C63DC5" w14:textId="77777777" w:rsidR="00185D5C" w:rsidRPr="00185D5C" w:rsidRDefault="00185D5C" w:rsidP="00185D5C">
                    <w:pPr>
                      <w:rPr>
                        <w:rFonts w:ascii="Calibri" w:eastAsia="Calibri" w:hAnsi="Calibri" w:cs="Calibri"/>
                        <w:noProof/>
                        <w:color w:val="0000FF"/>
                        <w:sz w:val="28"/>
                      </w:rPr>
                    </w:pPr>
                    <w:r w:rsidRPr="00185D5C">
                      <w:rPr>
                        <w:rFonts w:ascii="Calibri" w:eastAsia="Calibri" w:hAnsi="Calibri" w:cs="Calibri"/>
                        <w:noProof/>
                        <w:color w:val="0000FF"/>
                        <w:sz w:val="28"/>
                      </w:rPr>
                      <w:t>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CED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2034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9637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92FE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008B7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AC1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3686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A84F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722A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B6B1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213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46755A"/>
    <w:multiLevelType w:val="hybridMultilevel"/>
    <w:tmpl w:val="ADAC5366"/>
    <w:lvl w:ilvl="0" w:tplc="7B423438">
      <w:numFmt w:val="bullet"/>
      <w:lvlText w:val=""/>
      <w:lvlJc w:val="left"/>
      <w:pPr>
        <w:ind w:left="720" w:hanging="360"/>
      </w:pPr>
      <w:rPr>
        <w:rFonts w:ascii="Symbol" w:eastAsiaTheme="minorHAnsi" w:hAnsi="Symbol" w:cs="Times New Roman (Headings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B4002"/>
    <w:multiLevelType w:val="hybridMultilevel"/>
    <w:tmpl w:val="9A0C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C160E"/>
    <w:multiLevelType w:val="hybridMultilevel"/>
    <w:tmpl w:val="72524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C7024E"/>
    <w:multiLevelType w:val="hybridMultilevel"/>
    <w:tmpl w:val="44167D6C"/>
    <w:lvl w:ilvl="0" w:tplc="FEE4F81C">
      <w:start w:val="1"/>
      <w:numFmt w:val="bullet"/>
      <w:pStyle w:val="ListParagraph"/>
      <w:lvlText w:val=""/>
      <w:lvlJc w:val="left"/>
      <w:pPr>
        <w:ind w:left="1440" w:hanging="360"/>
      </w:pPr>
      <w:rPr>
        <w:rFonts w:ascii="Symbol" w:hAnsi="Symbol" w:hint="default"/>
        <w:color w:val="84619C"/>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7707962"/>
    <w:multiLevelType w:val="hybridMultilevel"/>
    <w:tmpl w:val="836C2BF2"/>
    <w:lvl w:ilvl="0" w:tplc="6574A398">
      <w:start w:val="1"/>
      <w:numFmt w:val="bullet"/>
      <w:pStyle w:val="ListBullet"/>
      <w:lvlText w:val=""/>
      <w:lvlJc w:val="left"/>
      <w:pPr>
        <w:ind w:left="360" w:hanging="360"/>
      </w:pPr>
      <w:rPr>
        <w:rFonts w:ascii="Symbol" w:hAnsi="Symbol" w:hint="default"/>
        <w:color w:val="84619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2B0531"/>
    <w:multiLevelType w:val="hybridMultilevel"/>
    <w:tmpl w:val="CE04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072A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4A069CE"/>
    <w:multiLevelType w:val="hybridMultilevel"/>
    <w:tmpl w:val="B3181976"/>
    <w:lvl w:ilvl="0" w:tplc="2E7CCEEE">
      <w:start w:val="1"/>
      <w:numFmt w:val="bullet"/>
      <w:pStyle w:val="ListBullet2"/>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9" w15:restartNumberingAfterBreak="0">
    <w:nsid w:val="48202D7E"/>
    <w:multiLevelType w:val="hybridMultilevel"/>
    <w:tmpl w:val="52948200"/>
    <w:lvl w:ilvl="0" w:tplc="CFF43A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2CDB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DA11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AE3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4876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7E88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F883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62C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A12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C01B3D"/>
    <w:multiLevelType w:val="hybridMultilevel"/>
    <w:tmpl w:val="6E762240"/>
    <w:lvl w:ilvl="0" w:tplc="7B423438">
      <w:numFmt w:val="bullet"/>
      <w:lvlText w:val=""/>
      <w:lvlJc w:val="left"/>
      <w:pPr>
        <w:ind w:left="720" w:hanging="360"/>
      </w:pPr>
      <w:rPr>
        <w:rFonts w:ascii="Symbol" w:eastAsiaTheme="minorHAnsi" w:hAnsi="Symbol" w:cs="Times New Roman (Headings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63E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4D45"/>
    <w:multiLevelType w:val="hybridMultilevel"/>
    <w:tmpl w:val="3054681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3" w15:restartNumberingAfterBreak="0">
    <w:nsid w:val="701763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6095996">
    <w:abstractNumId w:val="13"/>
  </w:num>
  <w:num w:numId="2" w16cid:durableId="696927646">
    <w:abstractNumId w:val="14"/>
  </w:num>
  <w:num w:numId="3" w16cid:durableId="566888783">
    <w:abstractNumId w:val="0"/>
  </w:num>
  <w:num w:numId="4" w16cid:durableId="651100864">
    <w:abstractNumId w:val="1"/>
  </w:num>
  <w:num w:numId="5" w16cid:durableId="1719938673">
    <w:abstractNumId w:val="2"/>
  </w:num>
  <w:num w:numId="6" w16cid:durableId="927231557">
    <w:abstractNumId w:val="3"/>
  </w:num>
  <w:num w:numId="7" w16cid:durableId="228155663">
    <w:abstractNumId w:val="8"/>
  </w:num>
  <w:num w:numId="8" w16cid:durableId="2053118397">
    <w:abstractNumId w:val="4"/>
  </w:num>
  <w:num w:numId="9" w16cid:durableId="1159225274">
    <w:abstractNumId w:val="5"/>
  </w:num>
  <w:num w:numId="10" w16cid:durableId="1372421963">
    <w:abstractNumId w:val="6"/>
  </w:num>
  <w:num w:numId="11" w16cid:durableId="611016507">
    <w:abstractNumId w:val="7"/>
  </w:num>
  <w:num w:numId="12" w16cid:durableId="1175144498">
    <w:abstractNumId w:val="9"/>
  </w:num>
  <w:num w:numId="13" w16cid:durableId="1446080410">
    <w:abstractNumId w:val="15"/>
  </w:num>
  <w:num w:numId="14" w16cid:durableId="1823933781">
    <w:abstractNumId w:val="18"/>
  </w:num>
  <w:num w:numId="15" w16cid:durableId="755639133">
    <w:abstractNumId w:val="10"/>
  </w:num>
  <w:num w:numId="16" w16cid:durableId="1628704891">
    <w:abstractNumId w:val="23"/>
  </w:num>
  <w:num w:numId="17" w16cid:durableId="497616393">
    <w:abstractNumId w:val="21"/>
  </w:num>
  <w:num w:numId="18" w16cid:durableId="859585692">
    <w:abstractNumId w:val="17"/>
  </w:num>
  <w:num w:numId="19" w16cid:durableId="527568648">
    <w:abstractNumId w:val="8"/>
  </w:num>
  <w:num w:numId="20" w16cid:durableId="1871604677">
    <w:abstractNumId w:val="3"/>
  </w:num>
  <w:num w:numId="21" w16cid:durableId="283774488">
    <w:abstractNumId w:val="19"/>
  </w:num>
  <w:num w:numId="22" w16cid:durableId="1030423182">
    <w:abstractNumId w:val="16"/>
  </w:num>
  <w:num w:numId="23" w16cid:durableId="1153369042">
    <w:abstractNumId w:val="11"/>
  </w:num>
  <w:num w:numId="24" w16cid:durableId="2060207373">
    <w:abstractNumId w:val="20"/>
  </w:num>
  <w:num w:numId="25" w16cid:durableId="1595280328">
    <w:abstractNumId w:val="12"/>
  </w:num>
  <w:num w:numId="26" w16cid:durableId="429740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20"/>
    <w:rsid w:val="0002413A"/>
    <w:rsid w:val="00047B50"/>
    <w:rsid w:val="0005184D"/>
    <w:rsid w:val="000855A7"/>
    <w:rsid w:val="000B20AE"/>
    <w:rsid w:val="000F638A"/>
    <w:rsid w:val="001233F8"/>
    <w:rsid w:val="0013782C"/>
    <w:rsid w:val="00147162"/>
    <w:rsid w:val="00147A35"/>
    <w:rsid w:val="001743A3"/>
    <w:rsid w:val="00185D5C"/>
    <w:rsid w:val="001A5114"/>
    <w:rsid w:val="001B7BB1"/>
    <w:rsid w:val="001D39A6"/>
    <w:rsid w:val="001E0AAF"/>
    <w:rsid w:val="001E1550"/>
    <w:rsid w:val="001F4EF5"/>
    <w:rsid w:val="00251953"/>
    <w:rsid w:val="00253F63"/>
    <w:rsid w:val="00264E58"/>
    <w:rsid w:val="0026561F"/>
    <w:rsid w:val="002A2D21"/>
    <w:rsid w:val="002B3792"/>
    <w:rsid w:val="002C7ED6"/>
    <w:rsid w:val="00310F63"/>
    <w:rsid w:val="00313A42"/>
    <w:rsid w:val="0033429A"/>
    <w:rsid w:val="00354D42"/>
    <w:rsid w:val="003617FF"/>
    <w:rsid w:val="003849E1"/>
    <w:rsid w:val="003E4318"/>
    <w:rsid w:val="003E7DEC"/>
    <w:rsid w:val="0040540D"/>
    <w:rsid w:val="0044324B"/>
    <w:rsid w:val="00444099"/>
    <w:rsid w:val="00452C67"/>
    <w:rsid w:val="004875AD"/>
    <w:rsid w:val="004A413E"/>
    <w:rsid w:val="004C1B98"/>
    <w:rsid w:val="00525816"/>
    <w:rsid w:val="00542C73"/>
    <w:rsid w:val="00544DEF"/>
    <w:rsid w:val="00563EA6"/>
    <w:rsid w:val="005B2650"/>
    <w:rsid w:val="006D47F8"/>
    <w:rsid w:val="006D5099"/>
    <w:rsid w:val="006E2DCD"/>
    <w:rsid w:val="006F1B0D"/>
    <w:rsid w:val="00721617"/>
    <w:rsid w:val="0078041D"/>
    <w:rsid w:val="0082085B"/>
    <w:rsid w:val="0082265B"/>
    <w:rsid w:val="008252E8"/>
    <w:rsid w:val="008548E0"/>
    <w:rsid w:val="00862545"/>
    <w:rsid w:val="008A7E7C"/>
    <w:rsid w:val="008F0EEE"/>
    <w:rsid w:val="00940893"/>
    <w:rsid w:val="009D4814"/>
    <w:rsid w:val="009D5D06"/>
    <w:rsid w:val="009E1A20"/>
    <w:rsid w:val="00A1209F"/>
    <w:rsid w:val="00A214F3"/>
    <w:rsid w:val="00A22F20"/>
    <w:rsid w:val="00A34807"/>
    <w:rsid w:val="00A643EF"/>
    <w:rsid w:val="00AF37DF"/>
    <w:rsid w:val="00B2489E"/>
    <w:rsid w:val="00B24BAC"/>
    <w:rsid w:val="00B64220"/>
    <w:rsid w:val="00B73D1D"/>
    <w:rsid w:val="00C0095D"/>
    <w:rsid w:val="00C26C03"/>
    <w:rsid w:val="00CB38E2"/>
    <w:rsid w:val="00D038CF"/>
    <w:rsid w:val="00D10CC4"/>
    <w:rsid w:val="00D25769"/>
    <w:rsid w:val="00D36FA9"/>
    <w:rsid w:val="00D372AA"/>
    <w:rsid w:val="00D4197B"/>
    <w:rsid w:val="00D61123"/>
    <w:rsid w:val="00D82A30"/>
    <w:rsid w:val="00D82CFB"/>
    <w:rsid w:val="00D90164"/>
    <w:rsid w:val="00E203B7"/>
    <w:rsid w:val="00E95D12"/>
    <w:rsid w:val="00ED0140"/>
    <w:rsid w:val="00EF7915"/>
    <w:rsid w:val="00F01C45"/>
    <w:rsid w:val="00F12746"/>
    <w:rsid w:val="00F26056"/>
    <w:rsid w:val="00F331BF"/>
    <w:rsid w:val="00F7225E"/>
    <w:rsid w:val="00FB28EA"/>
    <w:rsid w:val="00FF4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36EB"/>
  <w15:chartTrackingRefBased/>
  <w15:docId w15:val="{FC347192-A4E6-FC42-9667-B905CE91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Headings CS)"/>
        <w:bCs/>
        <w:color w:val="000000" w:themeColor="text1"/>
        <w:sz w:val="24"/>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82CFB"/>
    <w:pPr>
      <w:keepNext/>
      <w:keepLines/>
      <w:spacing w:before="360" w:after="240"/>
      <w:outlineLvl w:val="0"/>
    </w:pPr>
    <w:rPr>
      <w:rFonts w:eastAsiaTheme="majorEastAsia" w:cstheme="majorBidi"/>
      <w:b/>
      <w:bCs w:val="0"/>
      <w:color w:val="DB1785"/>
      <w:sz w:val="28"/>
    </w:rPr>
  </w:style>
  <w:style w:type="paragraph" w:styleId="Heading2">
    <w:name w:val="heading 2"/>
    <w:basedOn w:val="Normal"/>
    <w:next w:val="Normal"/>
    <w:link w:val="Heading2Char"/>
    <w:autoRedefine/>
    <w:uiPriority w:val="9"/>
    <w:unhideWhenUsed/>
    <w:qFormat/>
    <w:rsid w:val="0040540D"/>
    <w:pPr>
      <w:keepNext/>
      <w:keepLines/>
      <w:spacing w:before="40" w:after="100"/>
      <w:outlineLvl w:val="1"/>
    </w:pPr>
    <w:rPr>
      <w:rFonts w:eastAsiaTheme="majorEastAsia" w:cs="Tahoma"/>
      <w:b/>
      <w:sz w:val="28"/>
    </w:rPr>
  </w:style>
  <w:style w:type="paragraph" w:styleId="Heading3">
    <w:name w:val="heading 3"/>
    <w:basedOn w:val="Normal"/>
    <w:next w:val="Normal"/>
    <w:link w:val="Heading3Char"/>
    <w:uiPriority w:val="9"/>
    <w:unhideWhenUsed/>
    <w:qFormat/>
    <w:rsid w:val="00A22F20"/>
    <w:pPr>
      <w:numPr>
        <w:ilvl w:val="2"/>
        <w:numId w:val="18"/>
      </w:numPr>
      <w:outlineLvl w:val="2"/>
    </w:pPr>
    <w:rPr>
      <w:color w:val="DB1785" w:themeColor="accent3"/>
      <w:lang w:val="en-US"/>
    </w:rPr>
  </w:style>
  <w:style w:type="paragraph" w:styleId="Heading4">
    <w:name w:val="heading 4"/>
    <w:basedOn w:val="Normal"/>
    <w:next w:val="Normal"/>
    <w:link w:val="Heading4Char"/>
    <w:uiPriority w:val="9"/>
    <w:semiHidden/>
    <w:unhideWhenUsed/>
    <w:qFormat/>
    <w:rsid w:val="00A22F20"/>
    <w:pPr>
      <w:keepNext/>
      <w:keepLines/>
      <w:spacing w:before="40"/>
      <w:outlineLvl w:val="3"/>
    </w:pPr>
    <w:rPr>
      <w:rFonts w:eastAsiaTheme="majorEastAsia" w:cstheme="majorBidi"/>
      <w:iCs/>
      <w:color w:val="83619C" w:themeColor="accent2"/>
    </w:rPr>
  </w:style>
  <w:style w:type="paragraph" w:styleId="Heading5">
    <w:name w:val="heading 5"/>
    <w:basedOn w:val="Normal"/>
    <w:next w:val="Normal"/>
    <w:link w:val="Heading5Char"/>
    <w:uiPriority w:val="9"/>
    <w:semiHidden/>
    <w:unhideWhenUsed/>
    <w:qFormat/>
    <w:rsid w:val="00A22F20"/>
    <w:pPr>
      <w:keepNext/>
      <w:keepLines/>
      <w:spacing w:before="40"/>
      <w:outlineLvl w:val="4"/>
    </w:pPr>
    <w:rPr>
      <w:rFonts w:eastAsiaTheme="majorEastAsia" w:cstheme="majorBidi"/>
      <w:color w:val="360015" w:themeColor="accent1"/>
    </w:rPr>
  </w:style>
  <w:style w:type="paragraph" w:styleId="Heading6">
    <w:name w:val="heading 6"/>
    <w:basedOn w:val="Normal"/>
    <w:next w:val="Normal"/>
    <w:link w:val="Heading6Char"/>
    <w:uiPriority w:val="9"/>
    <w:semiHidden/>
    <w:unhideWhenUsed/>
    <w:qFormat/>
    <w:rsid w:val="00A22F20"/>
    <w:pPr>
      <w:keepNext/>
      <w:keepLines/>
      <w:spacing w:before="40"/>
      <w:outlineLvl w:val="5"/>
    </w:pPr>
    <w:rPr>
      <w:rFonts w:eastAsiaTheme="majorEastAsia" w:cstheme="majorBidi"/>
      <w:color w:val="83619C" w:themeColor="accent2"/>
    </w:rPr>
  </w:style>
  <w:style w:type="paragraph" w:styleId="Heading7">
    <w:name w:val="heading 7"/>
    <w:basedOn w:val="Normal"/>
    <w:next w:val="Normal"/>
    <w:link w:val="Heading7Char"/>
    <w:uiPriority w:val="9"/>
    <w:semiHidden/>
    <w:unhideWhenUsed/>
    <w:qFormat/>
    <w:rsid w:val="000F638A"/>
    <w:pPr>
      <w:keepNext/>
      <w:keepLines/>
      <w:spacing w:before="40"/>
      <w:outlineLvl w:val="6"/>
    </w:pPr>
    <w:rPr>
      <w:rFonts w:eastAsiaTheme="majorEastAsia" w:cstheme="majorBidi"/>
      <w:i/>
      <w:iCs/>
      <w:color w:val="DB1785"/>
    </w:rPr>
  </w:style>
  <w:style w:type="paragraph" w:styleId="Heading8">
    <w:name w:val="heading 8"/>
    <w:basedOn w:val="Normal"/>
    <w:next w:val="Normal"/>
    <w:link w:val="Heading8Char"/>
    <w:uiPriority w:val="9"/>
    <w:semiHidden/>
    <w:unhideWhenUsed/>
    <w:qFormat/>
    <w:rsid w:val="000F638A"/>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38A"/>
    <w:pPr>
      <w:keepNext/>
      <w:keepLines/>
      <w:spacing w:before="40"/>
      <w:outlineLvl w:val="8"/>
    </w:pPr>
    <w:rPr>
      <w:rFonts w:eastAsiaTheme="majorEastAsia"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22F20"/>
    <w:pPr>
      <w:contextualSpacing/>
    </w:pPr>
    <w:rPr>
      <w:rFonts w:eastAsiaTheme="majorEastAsia" w:cstheme="majorBidi"/>
      <w:b/>
      <w:bCs w:val="0"/>
      <w:color w:val="360015" w:themeColor="accent1"/>
      <w:spacing w:val="-10"/>
      <w:kern w:val="28"/>
      <w:sz w:val="56"/>
      <w:szCs w:val="56"/>
    </w:rPr>
  </w:style>
  <w:style w:type="character" w:customStyle="1" w:styleId="TitleChar">
    <w:name w:val="Title Char"/>
    <w:basedOn w:val="DefaultParagraphFont"/>
    <w:link w:val="Title"/>
    <w:uiPriority w:val="10"/>
    <w:rsid w:val="00A22F20"/>
    <w:rPr>
      <w:rFonts w:eastAsiaTheme="majorEastAsia" w:cstheme="majorBidi"/>
      <w:b/>
      <w:bCs w:val="0"/>
      <w:color w:val="360015" w:themeColor="accent1"/>
      <w:spacing w:val="-10"/>
      <w:kern w:val="28"/>
      <w:sz w:val="56"/>
      <w:szCs w:val="56"/>
    </w:rPr>
  </w:style>
  <w:style w:type="paragraph" w:styleId="Header">
    <w:name w:val="header"/>
    <w:basedOn w:val="Normal"/>
    <w:link w:val="HeaderChar"/>
    <w:uiPriority w:val="99"/>
    <w:unhideWhenUsed/>
    <w:rsid w:val="00185D5C"/>
    <w:pPr>
      <w:tabs>
        <w:tab w:val="center" w:pos="4513"/>
        <w:tab w:val="right" w:pos="9026"/>
      </w:tabs>
    </w:pPr>
  </w:style>
  <w:style w:type="character" w:customStyle="1" w:styleId="HeaderChar">
    <w:name w:val="Header Char"/>
    <w:basedOn w:val="DefaultParagraphFont"/>
    <w:link w:val="Header"/>
    <w:uiPriority w:val="99"/>
    <w:rsid w:val="00185D5C"/>
  </w:style>
  <w:style w:type="paragraph" w:customStyle="1" w:styleId="BasicParagraph">
    <w:name w:val="[Basic Paragraph]"/>
    <w:basedOn w:val="Normal"/>
    <w:uiPriority w:val="99"/>
    <w:rsid w:val="005B2650"/>
    <w:pPr>
      <w:autoSpaceDE w:val="0"/>
      <w:autoSpaceDN w:val="0"/>
      <w:adjustRightInd w:val="0"/>
      <w:spacing w:line="288" w:lineRule="auto"/>
      <w:textAlignment w:val="center"/>
    </w:pPr>
    <w:rPr>
      <w:rFonts w:cs="MinionPro-Regular"/>
      <w:color w:val="000000"/>
    </w:rPr>
  </w:style>
  <w:style w:type="character" w:customStyle="1" w:styleId="SFbodycopygeneral">
    <w:name w:val="SF body copy general"/>
    <w:uiPriority w:val="99"/>
    <w:rsid w:val="001D39A6"/>
    <w:rPr>
      <w:rFonts w:ascii="Loew" w:hAnsi="Loew" w:cs="Loew"/>
      <w:color w:val="000000"/>
      <w:spacing w:val="-7"/>
      <w:w w:val="100"/>
      <w:sz w:val="22"/>
      <w:szCs w:val="22"/>
      <w:lang w:val="en-US"/>
    </w:rPr>
  </w:style>
  <w:style w:type="character" w:customStyle="1" w:styleId="Heading1Char">
    <w:name w:val="Heading 1 Char"/>
    <w:basedOn w:val="DefaultParagraphFont"/>
    <w:link w:val="Heading1"/>
    <w:uiPriority w:val="9"/>
    <w:rsid w:val="00D82CFB"/>
    <w:rPr>
      <w:rFonts w:eastAsiaTheme="majorEastAsia" w:cstheme="majorBidi"/>
      <w:b/>
      <w:bCs w:val="0"/>
      <w:color w:val="DB1785"/>
      <w:sz w:val="28"/>
    </w:rPr>
  </w:style>
  <w:style w:type="paragraph" w:styleId="NoSpacing">
    <w:name w:val="No Spacing"/>
    <w:uiPriority w:val="1"/>
    <w:qFormat/>
    <w:rsid w:val="00147162"/>
  </w:style>
  <w:style w:type="character" w:customStyle="1" w:styleId="Heading2Char">
    <w:name w:val="Heading 2 Char"/>
    <w:basedOn w:val="DefaultParagraphFont"/>
    <w:link w:val="Heading2"/>
    <w:uiPriority w:val="9"/>
    <w:rsid w:val="0040540D"/>
    <w:rPr>
      <w:rFonts w:eastAsiaTheme="majorEastAsia" w:cs="Tahoma"/>
      <w:b/>
      <w:sz w:val="28"/>
    </w:rPr>
  </w:style>
  <w:style w:type="paragraph" w:styleId="Subtitle">
    <w:name w:val="Subtitle"/>
    <w:basedOn w:val="Normal"/>
    <w:next w:val="Normal"/>
    <w:link w:val="SubtitleChar"/>
    <w:autoRedefine/>
    <w:uiPriority w:val="11"/>
    <w:qFormat/>
    <w:rsid w:val="00354D42"/>
    <w:pPr>
      <w:numPr>
        <w:ilvl w:val="1"/>
      </w:numPr>
      <w:spacing w:after="160"/>
    </w:pPr>
    <w:rPr>
      <w:rFonts w:eastAsiaTheme="minorEastAsia" w:cs="Times New Roman (Body CS)"/>
      <w:color w:val="BFBFBF" w:themeColor="background2" w:themeShade="BF"/>
      <w:spacing w:val="14"/>
      <w:sz w:val="28"/>
      <w:szCs w:val="22"/>
    </w:rPr>
  </w:style>
  <w:style w:type="character" w:customStyle="1" w:styleId="SubtitleChar">
    <w:name w:val="Subtitle Char"/>
    <w:basedOn w:val="DefaultParagraphFont"/>
    <w:link w:val="Subtitle"/>
    <w:uiPriority w:val="11"/>
    <w:rsid w:val="00354D42"/>
    <w:rPr>
      <w:rFonts w:eastAsiaTheme="minorEastAsia" w:cs="Times New Roman (Body CS)"/>
      <w:color w:val="BFBFBF" w:themeColor="background2" w:themeShade="BF"/>
      <w:spacing w:val="14"/>
      <w:sz w:val="28"/>
      <w:szCs w:val="22"/>
    </w:rPr>
  </w:style>
  <w:style w:type="character" w:styleId="SubtleEmphasis">
    <w:name w:val="Subtle Emphasis"/>
    <w:basedOn w:val="DefaultParagraphFont"/>
    <w:uiPriority w:val="19"/>
    <w:qFormat/>
    <w:rsid w:val="00A22F20"/>
    <w:rPr>
      <w:color w:val="83619C" w:themeColor="accent2"/>
    </w:rPr>
  </w:style>
  <w:style w:type="paragraph" w:styleId="Quote">
    <w:name w:val="Quote"/>
    <w:basedOn w:val="Normal"/>
    <w:next w:val="Normal"/>
    <w:link w:val="QuoteChar"/>
    <w:uiPriority w:val="29"/>
    <w:qFormat/>
    <w:rsid w:val="00A22F20"/>
    <w:pPr>
      <w:spacing w:before="200" w:after="160"/>
      <w:ind w:left="864" w:right="864"/>
      <w:jc w:val="center"/>
    </w:pPr>
    <w:rPr>
      <w:b/>
      <w:bCs w:val="0"/>
      <w:i/>
      <w:iCs/>
      <w:color w:val="DB1785" w:themeColor="accent3"/>
      <w:lang w:val="en-US"/>
    </w:rPr>
  </w:style>
  <w:style w:type="character" w:customStyle="1" w:styleId="QuoteChar">
    <w:name w:val="Quote Char"/>
    <w:basedOn w:val="DefaultParagraphFont"/>
    <w:link w:val="Quote"/>
    <w:uiPriority w:val="29"/>
    <w:rsid w:val="00A22F20"/>
    <w:rPr>
      <w:b/>
      <w:bCs w:val="0"/>
      <w:i/>
      <w:iCs/>
      <w:color w:val="DB1785" w:themeColor="accent3"/>
      <w:lang w:val="en-US"/>
    </w:rPr>
  </w:style>
  <w:style w:type="paragraph" w:styleId="IntenseQuote">
    <w:name w:val="Intense Quote"/>
    <w:basedOn w:val="Normal"/>
    <w:next w:val="Normal"/>
    <w:link w:val="IntenseQuoteChar"/>
    <w:uiPriority w:val="30"/>
    <w:qFormat/>
    <w:rsid w:val="00A22F20"/>
    <w:pPr>
      <w:spacing w:before="360" w:after="360"/>
      <w:ind w:left="864" w:right="864"/>
      <w:jc w:val="center"/>
    </w:pPr>
    <w:rPr>
      <w:b/>
      <w:bCs w:val="0"/>
      <w:i/>
      <w:iCs/>
      <w:color w:val="DB1785" w:themeColor="accent3"/>
    </w:rPr>
  </w:style>
  <w:style w:type="character" w:customStyle="1" w:styleId="IntenseQuoteChar">
    <w:name w:val="Intense Quote Char"/>
    <w:basedOn w:val="DefaultParagraphFont"/>
    <w:link w:val="IntenseQuote"/>
    <w:uiPriority w:val="30"/>
    <w:rsid w:val="00A22F20"/>
    <w:rPr>
      <w:b/>
      <w:bCs w:val="0"/>
      <w:i/>
      <w:iCs/>
      <w:color w:val="DB1785" w:themeColor="accent3"/>
    </w:rPr>
  </w:style>
  <w:style w:type="paragraph" w:styleId="Footer">
    <w:name w:val="footer"/>
    <w:basedOn w:val="Normal"/>
    <w:link w:val="FooterChar"/>
    <w:uiPriority w:val="99"/>
    <w:unhideWhenUsed/>
    <w:rsid w:val="00147A35"/>
    <w:pPr>
      <w:tabs>
        <w:tab w:val="center" w:pos="4513"/>
        <w:tab w:val="right" w:pos="9026"/>
      </w:tabs>
    </w:pPr>
  </w:style>
  <w:style w:type="character" w:customStyle="1" w:styleId="FooterChar">
    <w:name w:val="Footer Char"/>
    <w:basedOn w:val="DefaultParagraphFont"/>
    <w:link w:val="Footer"/>
    <w:uiPriority w:val="99"/>
    <w:rsid w:val="00147A35"/>
  </w:style>
  <w:style w:type="paragraph" w:styleId="ListParagraph">
    <w:name w:val="List Paragraph"/>
    <w:basedOn w:val="Normal"/>
    <w:uiPriority w:val="34"/>
    <w:qFormat/>
    <w:rsid w:val="00D61123"/>
    <w:pPr>
      <w:numPr>
        <w:numId w:val="2"/>
      </w:numPr>
      <w:contextualSpacing/>
    </w:pPr>
    <w:rPr>
      <w:lang w:val="en-US"/>
    </w:rPr>
  </w:style>
  <w:style w:type="character" w:customStyle="1" w:styleId="Heading3Char">
    <w:name w:val="Heading 3 Char"/>
    <w:basedOn w:val="DefaultParagraphFont"/>
    <w:link w:val="Heading3"/>
    <w:uiPriority w:val="9"/>
    <w:rsid w:val="00A22F20"/>
    <w:rPr>
      <w:color w:val="DB1785" w:themeColor="accent3"/>
      <w:lang w:val="en-US"/>
    </w:rPr>
  </w:style>
  <w:style w:type="character" w:styleId="Strong">
    <w:name w:val="Strong"/>
    <w:basedOn w:val="DefaultParagraphFont"/>
    <w:uiPriority w:val="22"/>
    <w:qFormat/>
    <w:rsid w:val="009D4814"/>
    <w:rPr>
      <w:b/>
      <w:bCs w:val="0"/>
    </w:rPr>
  </w:style>
  <w:style w:type="character" w:styleId="SubtleReference">
    <w:name w:val="Subtle Reference"/>
    <w:basedOn w:val="DefaultParagraphFont"/>
    <w:uiPriority w:val="31"/>
    <w:qFormat/>
    <w:rsid w:val="009D4814"/>
    <w:rPr>
      <w:smallCaps/>
      <w:color w:val="5A5A5A" w:themeColor="text1" w:themeTint="A5"/>
    </w:rPr>
  </w:style>
  <w:style w:type="character" w:styleId="IntenseReference">
    <w:name w:val="Intense Reference"/>
    <w:basedOn w:val="DefaultParagraphFont"/>
    <w:uiPriority w:val="32"/>
    <w:qFormat/>
    <w:rsid w:val="009D4814"/>
    <w:rPr>
      <w:b/>
      <w:bCs w:val="0"/>
      <w:smallCaps/>
      <w:color w:val="360015" w:themeColor="accent1"/>
      <w:spacing w:val="5"/>
    </w:rPr>
  </w:style>
  <w:style w:type="character" w:styleId="BookTitle">
    <w:name w:val="Book Title"/>
    <w:aliases w:val="Strong Italic"/>
    <w:basedOn w:val="DefaultParagraphFont"/>
    <w:uiPriority w:val="33"/>
    <w:qFormat/>
    <w:rsid w:val="009D4814"/>
    <w:rPr>
      <w:b/>
      <w:bCs w:val="0"/>
      <w:i/>
      <w:iCs/>
      <w:spacing w:val="5"/>
    </w:rPr>
  </w:style>
  <w:style w:type="paragraph" w:styleId="TOCHeading">
    <w:name w:val="TOC Heading"/>
    <w:basedOn w:val="Heading1"/>
    <w:next w:val="Normal"/>
    <w:uiPriority w:val="39"/>
    <w:unhideWhenUsed/>
    <w:qFormat/>
    <w:rsid w:val="005B2650"/>
    <w:pPr>
      <w:spacing w:before="480" w:after="0" w:line="276" w:lineRule="auto"/>
      <w:outlineLvl w:val="9"/>
    </w:pPr>
    <w:rPr>
      <w:bCs/>
      <w:color w:val="000000" w:themeColor="text1"/>
      <w:sz w:val="36"/>
      <w:lang w:val="en-US"/>
    </w:rPr>
  </w:style>
  <w:style w:type="paragraph" w:styleId="TOC1">
    <w:name w:val="toc 1"/>
    <w:basedOn w:val="Normal"/>
    <w:next w:val="Normal"/>
    <w:autoRedefine/>
    <w:uiPriority w:val="39"/>
    <w:unhideWhenUsed/>
    <w:rsid w:val="008252E8"/>
    <w:pPr>
      <w:spacing w:before="120"/>
    </w:pPr>
    <w:rPr>
      <w:rFonts w:asciiTheme="minorHAnsi" w:hAnsiTheme="minorHAnsi" w:cstheme="minorHAnsi"/>
      <w:b/>
      <w:i/>
      <w:iCs/>
      <w:szCs w:val="24"/>
    </w:rPr>
  </w:style>
  <w:style w:type="paragraph" w:styleId="TOC2">
    <w:name w:val="toc 2"/>
    <w:basedOn w:val="Normal"/>
    <w:next w:val="Normal"/>
    <w:autoRedefine/>
    <w:uiPriority w:val="39"/>
    <w:unhideWhenUsed/>
    <w:rsid w:val="008252E8"/>
    <w:pPr>
      <w:spacing w:before="120"/>
      <w:ind w:left="240"/>
    </w:pPr>
    <w:rPr>
      <w:rFonts w:asciiTheme="minorHAnsi" w:hAnsiTheme="minorHAnsi" w:cstheme="minorHAnsi"/>
      <w:b/>
      <w:sz w:val="22"/>
      <w:szCs w:val="22"/>
    </w:rPr>
  </w:style>
  <w:style w:type="paragraph" w:styleId="TOC3">
    <w:name w:val="toc 3"/>
    <w:basedOn w:val="Normal"/>
    <w:next w:val="Normal"/>
    <w:autoRedefine/>
    <w:uiPriority w:val="39"/>
    <w:unhideWhenUsed/>
    <w:rsid w:val="008252E8"/>
    <w:pPr>
      <w:ind w:left="480"/>
    </w:pPr>
    <w:rPr>
      <w:rFonts w:asciiTheme="minorHAnsi" w:hAnsiTheme="minorHAnsi" w:cstheme="minorHAnsi"/>
      <w:bCs w:val="0"/>
      <w:sz w:val="20"/>
      <w:szCs w:val="20"/>
    </w:rPr>
  </w:style>
  <w:style w:type="character" w:styleId="Hyperlink">
    <w:name w:val="Hyperlink"/>
    <w:basedOn w:val="DefaultParagraphFont"/>
    <w:uiPriority w:val="99"/>
    <w:unhideWhenUsed/>
    <w:rsid w:val="00444099"/>
    <w:rPr>
      <w:b w:val="0"/>
      <w:color w:val="385F9F"/>
      <w:u w:val="single"/>
    </w:rPr>
  </w:style>
  <w:style w:type="paragraph" w:styleId="TOC4">
    <w:name w:val="toc 4"/>
    <w:basedOn w:val="Normal"/>
    <w:next w:val="Normal"/>
    <w:autoRedefine/>
    <w:uiPriority w:val="39"/>
    <w:semiHidden/>
    <w:unhideWhenUsed/>
    <w:rsid w:val="008252E8"/>
    <w:pPr>
      <w:ind w:left="720"/>
    </w:pPr>
    <w:rPr>
      <w:rFonts w:asciiTheme="minorHAnsi" w:hAnsiTheme="minorHAnsi" w:cstheme="minorHAnsi"/>
      <w:bCs w:val="0"/>
      <w:sz w:val="20"/>
      <w:szCs w:val="20"/>
    </w:rPr>
  </w:style>
  <w:style w:type="paragraph" w:styleId="TOC5">
    <w:name w:val="toc 5"/>
    <w:basedOn w:val="Normal"/>
    <w:next w:val="Normal"/>
    <w:autoRedefine/>
    <w:uiPriority w:val="39"/>
    <w:semiHidden/>
    <w:unhideWhenUsed/>
    <w:rsid w:val="008252E8"/>
    <w:pPr>
      <w:ind w:left="960"/>
    </w:pPr>
    <w:rPr>
      <w:rFonts w:asciiTheme="minorHAnsi" w:hAnsiTheme="minorHAnsi" w:cstheme="minorHAnsi"/>
      <w:bCs w:val="0"/>
      <w:sz w:val="20"/>
      <w:szCs w:val="20"/>
    </w:rPr>
  </w:style>
  <w:style w:type="paragraph" w:styleId="TOC6">
    <w:name w:val="toc 6"/>
    <w:basedOn w:val="Normal"/>
    <w:next w:val="Normal"/>
    <w:autoRedefine/>
    <w:uiPriority w:val="39"/>
    <w:semiHidden/>
    <w:unhideWhenUsed/>
    <w:rsid w:val="008252E8"/>
    <w:pPr>
      <w:ind w:left="1200"/>
    </w:pPr>
    <w:rPr>
      <w:rFonts w:asciiTheme="minorHAnsi" w:hAnsiTheme="minorHAnsi" w:cstheme="minorHAnsi"/>
      <w:bCs w:val="0"/>
      <w:sz w:val="20"/>
      <w:szCs w:val="20"/>
    </w:rPr>
  </w:style>
  <w:style w:type="paragraph" w:styleId="TOC7">
    <w:name w:val="toc 7"/>
    <w:basedOn w:val="Normal"/>
    <w:next w:val="Normal"/>
    <w:autoRedefine/>
    <w:uiPriority w:val="39"/>
    <w:semiHidden/>
    <w:unhideWhenUsed/>
    <w:rsid w:val="008252E8"/>
    <w:pPr>
      <w:ind w:left="1440"/>
    </w:pPr>
    <w:rPr>
      <w:rFonts w:asciiTheme="minorHAnsi" w:hAnsiTheme="minorHAnsi" w:cstheme="minorHAnsi"/>
      <w:bCs w:val="0"/>
      <w:sz w:val="20"/>
      <w:szCs w:val="20"/>
    </w:rPr>
  </w:style>
  <w:style w:type="paragraph" w:styleId="TOC8">
    <w:name w:val="toc 8"/>
    <w:basedOn w:val="Normal"/>
    <w:next w:val="Normal"/>
    <w:autoRedefine/>
    <w:uiPriority w:val="39"/>
    <w:semiHidden/>
    <w:unhideWhenUsed/>
    <w:rsid w:val="008252E8"/>
    <w:pPr>
      <w:ind w:left="1680"/>
    </w:pPr>
    <w:rPr>
      <w:rFonts w:asciiTheme="minorHAnsi" w:hAnsiTheme="minorHAnsi" w:cstheme="minorHAnsi"/>
      <w:bCs w:val="0"/>
      <w:sz w:val="20"/>
      <w:szCs w:val="20"/>
    </w:rPr>
  </w:style>
  <w:style w:type="paragraph" w:styleId="TOC9">
    <w:name w:val="toc 9"/>
    <w:basedOn w:val="Normal"/>
    <w:next w:val="Normal"/>
    <w:autoRedefine/>
    <w:uiPriority w:val="39"/>
    <w:semiHidden/>
    <w:unhideWhenUsed/>
    <w:rsid w:val="008252E8"/>
    <w:pPr>
      <w:ind w:left="1920"/>
    </w:pPr>
    <w:rPr>
      <w:rFonts w:asciiTheme="minorHAnsi" w:hAnsiTheme="minorHAnsi" w:cstheme="minorHAnsi"/>
      <w:bCs w:val="0"/>
      <w:sz w:val="20"/>
      <w:szCs w:val="20"/>
    </w:rPr>
  </w:style>
  <w:style w:type="character" w:styleId="PageNumber">
    <w:name w:val="page number"/>
    <w:basedOn w:val="DefaultParagraphFont"/>
    <w:uiPriority w:val="99"/>
    <w:semiHidden/>
    <w:unhideWhenUsed/>
    <w:rsid w:val="00FF4162"/>
  </w:style>
  <w:style w:type="paragraph" w:styleId="BalloonText">
    <w:name w:val="Balloon Text"/>
    <w:basedOn w:val="Normal"/>
    <w:link w:val="BalloonTextChar"/>
    <w:uiPriority w:val="99"/>
    <w:unhideWhenUsed/>
    <w:rsid w:val="000F638A"/>
    <w:rPr>
      <w:rFonts w:cs="Times New Roman"/>
      <w:sz w:val="18"/>
      <w:szCs w:val="18"/>
    </w:rPr>
  </w:style>
  <w:style w:type="character" w:customStyle="1" w:styleId="BalloonTextChar">
    <w:name w:val="Balloon Text Char"/>
    <w:basedOn w:val="DefaultParagraphFont"/>
    <w:link w:val="BalloonText"/>
    <w:uiPriority w:val="99"/>
    <w:rsid w:val="000F638A"/>
    <w:rPr>
      <w:rFonts w:cs="Times New Roman"/>
      <w:sz w:val="18"/>
      <w:szCs w:val="18"/>
    </w:rPr>
  </w:style>
  <w:style w:type="paragraph" w:styleId="BodyText">
    <w:name w:val="Body Text"/>
    <w:basedOn w:val="Normal"/>
    <w:link w:val="BodyTextChar"/>
    <w:uiPriority w:val="99"/>
    <w:unhideWhenUsed/>
    <w:rsid w:val="005B2650"/>
    <w:pPr>
      <w:spacing w:after="120"/>
    </w:pPr>
  </w:style>
  <w:style w:type="character" w:customStyle="1" w:styleId="BodyTextChar">
    <w:name w:val="Body Text Char"/>
    <w:basedOn w:val="DefaultParagraphFont"/>
    <w:link w:val="BodyText"/>
    <w:uiPriority w:val="99"/>
    <w:rsid w:val="005B2650"/>
  </w:style>
  <w:style w:type="paragraph" w:styleId="BodyText2">
    <w:name w:val="Body Text 2"/>
    <w:basedOn w:val="Normal"/>
    <w:link w:val="BodyText2Char"/>
    <w:uiPriority w:val="99"/>
    <w:unhideWhenUsed/>
    <w:rsid w:val="005B2650"/>
    <w:pPr>
      <w:spacing w:after="120" w:line="480" w:lineRule="auto"/>
    </w:pPr>
  </w:style>
  <w:style w:type="character" w:customStyle="1" w:styleId="BodyText2Char">
    <w:name w:val="Body Text 2 Char"/>
    <w:basedOn w:val="DefaultParagraphFont"/>
    <w:link w:val="BodyText2"/>
    <w:uiPriority w:val="99"/>
    <w:rsid w:val="005B2650"/>
  </w:style>
  <w:style w:type="paragraph" w:styleId="BodyText3">
    <w:name w:val="Body Text 3"/>
    <w:basedOn w:val="Normal"/>
    <w:link w:val="BodyText3Char"/>
    <w:uiPriority w:val="99"/>
    <w:unhideWhenUsed/>
    <w:rsid w:val="005B2650"/>
    <w:pPr>
      <w:spacing w:after="120"/>
    </w:pPr>
    <w:rPr>
      <w:sz w:val="16"/>
      <w:szCs w:val="16"/>
    </w:rPr>
  </w:style>
  <w:style w:type="character" w:customStyle="1" w:styleId="BodyText3Char">
    <w:name w:val="Body Text 3 Char"/>
    <w:basedOn w:val="DefaultParagraphFont"/>
    <w:link w:val="BodyText3"/>
    <w:uiPriority w:val="99"/>
    <w:rsid w:val="005B2650"/>
    <w:rPr>
      <w:sz w:val="16"/>
      <w:szCs w:val="16"/>
    </w:rPr>
  </w:style>
  <w:style w:type="paragraph" w:styleId="BodyTextFirstIndent">
    <w:name w:val="Body Text First Indent"/>
    <w:basedOn w:val="BodyText"/>
    <w:link w:val="BodyTextFirstIndentChar"/>
    <w:uiPriority w:val="99"/>
    <w:unhideWhenUsed/>
    <w:rsid w:val="005B2650"/>
    <w:pPr>
      <w:spacing w:after="0"/>
      <w:ind w:firstLine="360"/>
    </w:pPr>
  </w:style>
  <w:style w:type="character" w:customStyle="1" w:styleId="BodyTextFirstIndentChar">
    <w:name w:val="Body Text First Indent Char"/>
    <w:basedOn w:val="BodyTextChar"/>
    <w:link w:val="BodyTextFirstIndent"/>
    <w:uiPriority w:val="99"/>
    <w:rsid w:val="005B2650"/>
  </w:style>
  <w:style w:type="paragraph" w:styleId="CommentText">
    <w:name w:val="annotation text"/>
    <w:basedOn w:val="Normal"/>
    <w:link w:val="CommentTextChar"/>
    <w:uiPriority w:val="99"/>
    <w:semiHidden/>
    <w:unhideWhenUsed/>
    <w:rsid w:val="005B2650"/>
    <w:rPr>
      <w:sz w:val="20"/>
      <w:szCs w:val="20"/>
    </w:rPr>
  </w:style>
  <w:style w:type="character" w:customStyle="1" w:styleId="CommentTextChar">
    <w:name w:val="Comment Text Char"/>
    <w:basedOn w:val="DefaultParagraphFont"/>
    <w:link w:val="CommentText"/>
    <w:uiPriority w:val="99"/>
    <w:semiHidden/>
    <w:rsid w:val="005B2650"/>
    <w:rPr>
      <w:sz w:val="20"/>
      <w:szCs w:val="20"/>
    </w:rPr>
  </w:style>
  <w:style w:type="paragraph" w:styleId="CommentSubject">
    <w:name w:val="annotation subject"/>
    <w:basedOn w:val="CommentText"/>
    <w:next w:val="CommentText"/>
    <w:link w:val="CommentSubjectChar"/>
    <w:uiPriority w:val="99"/>
    <w:unhideWhenUsed/>
    <w:rsid w:val="005B2650"/>
    <w:rPr>
      <w:b/>
    </w:rPr>
  </w:style>
  <w:style w:type="character" w:customStyle="1" w:styleId="CommentSubjectChar">
    <w:name w:val="Comment Subject Char"/>
    <w:basedOn w:val="CommentTextChar"/>
    <w:link w:val="CommentSubject"/>
    <w:uiPriority w:val="99"/>
    <w:rsid w:val="005B2650"/>
    <w:rPr>
      <w:b/>
      <w:sz w:val="20"/>
      <w:szCs w:val="20"/>
    </w:rPr>
  </w:style>
  <w:style w:type="paragraph" w:styleId="Date">
    <w:name w:val="Date"/>
    <w:basedOn w:val="Normal"/>
    <w:next w:val="Normal"/>
    <w:link w:val="DateChar"/>
    <w:uiPriority w:val="99"/>
    <w:unhideWhenUsed/>
    <w:rsid w:val="005B2650"/>
  </w:style>
  <w:style w:type="character" w:customStyle="1" w:styleId="DateChar">
    <w:name w:val="Date Char"/>
    <w:basedOn w:val="DefaultParagraphFont"/>
    <w:link w:val="Date"/>
    <w:uiPriority w:val="99"/>
    <w:rsid w:val="005B2650"/>
  </w:style>
  <w:style w:type="paragraph" w:styleId="Index1">
    <w:name w:val="index 1"/>
    <w:basedOn w:val="Normal"/>
    <w:next w:val="Normal"/>
    <w:autoRedefine/>
    <w:uiPriority w:val="99"/>
    <w:unhideWhenUsed/>
    <w:rsid w:val="005B2650"/>
    <w:pPr>
      <w:ind w:left="240" w:hanging="240"/>
    </w:pPr>
  </w:style>
  <w:style w:type="paragraph" w:styleId="List">
    <w:name w:val="List"/>
    <w:basedOn w:val="Normal"/>
    <w:uiPriority w:val="99"/>
    <w:unhideWhenUsed/>
    <w:rsid w:val="005B2650"/>
    <w:pPr>
      <w:ind w:left="283" w:hanging="283"/>
      <w:contextualSpacing/>
    </w:pPr>
  </w:style>
  <w:style w:type="paragraph" w:styleId="List2">
    <w:name w:val="List 2"/>
    <w:basedOn w:val="Normal"/>
    <w:uiPriority w:val="99"/>
    <w:unhideWhenUsed/>
    <w:rsid w:val="005B2650"/>
    <w:pPr>
      <w:ind w:left="566" w:hanging="283"/>
      <w:contextualSpacing/>
    </w:pPr>
  </w:style>
  <w:style w:type="paragraph" w:styleId="List3">
    <w:name w:val="List 3"/>
    <w:basedOn w:val="Normal"/>
    <w:uiPriority w:val="99"/>
    <w:unhideWhenUsed/>
    <w:rsid w:val="005B2650"/>
    <w:pPr>
      <w:ind w:left="849" w:hanging="283"/>
      <w:contextualSpacing/>
    </w:pPr>
  </w:style>
  <w:style w:type="paragraph" w:styleId="List4">
    <w:name w:val="List 4"/>
    <w:basedOn w:val="Normal"/>
    <w:uiPriority w:val="99"/>
    <w:unhideWhenUsed/>
    <w:rsid w:val="005B2650"/>
    <w:pPr>
      <w:ind w:left="1132" w:hanging="283"/>
      <w:contextualSpacing/>
    </w:pPr>
  </w:style>
  <w:style w:type="paragraph" w:styleId="List5">
    <w:name w:val="List 5"/>
    <w:basedOn w:val="Normal"/>
    <w:uiPriority w:val="99"/>
    <w:unhideWhenUsed/>
    <w:rsid w:val="005B2650"/>
    <w:pPr>
      <w:ind w:left="1415" w:hanging="283"/>
      <w:contextualSpacing/>
    </w:pPr>
  </w:style>
  <w:style w:type="paragraph" w:styleId="ListBullet">
    <w:name w:val="List Bullet"/>
    <w:basedOn w:val="Normal"/>
    <w:uiPriority w:val="99"/>
    <w:unhideWhenUsed/>
    <w:rsid w:val="005B2650"/>
    <w:pPr>
      <w:numPr>
        <w:numId w:val="13"/>
      </w:numPr>
      <w:contextualSpacing/>
    </w:pPr>
  </w:style>
  <w:style w:type="paragraph" w:styleId="ListBullet2">
    <w:name w:val="List Bullet 2"/>
    <w:basedOn w:val="Normal"/>
    <w:uiPriority w:val="99"/>
    <w:unhideWhenUsed/>
    <w:rsid w:val="0002413A"/>
    <w:pPr>
      <w:numPr>
        <w:numId w:val="14"/>
      </w:numPr>
      <w:contextualSpacing/>
    </w:pPr>
  </w:style>
  <w:style w:type="character" w:styleId="LineNumber">
    <w:name w:val="line number"/>
    <w:basedOn w:val="DefaultParagraphFont"/>
    <w:uiPriority w:val="99"/>
    <w:unhideWhenUsed/>
    <w:rsid w:val="0002413A"/>
  </w:style>
  <w:style w:type="paragraph" w:styleId="ListNumber">
    <w:name w:val="List Number"/>
    <w:basedOn w:val="Normal"/>
    <w:uiPriority w:val="99"/>
    <w:unhideWhenUsed/>
    <w:rsid w:val="0002413A"/>
    <w:pPr>
      <w:numPr>
        <w:numId w:val="7"/>
      </w:numPr>
      <w:contextualSpacing/>
    </w:pPr>
  </w:style>
  <w:style w:type="paragraph" w:styleId="ListNumber2">
    <w:name w:val="List Number 2"/>
    <w:basedOn w:val="Normal"/>
    <w:uiPriority w:val="99"/>
    <w:unhideWhenUsed/>
    <w:rsid w:val="0002413A"/>
    <w:pPr>
      <w:numPr>
        <w:numId w:val="6"/>
      </w:numPr>
      <w:contextualSpacing/>
    </w:pPr>
  </w:style>
  <w:style w:type="paragraph" w:styleId="BlockText">
    <w:name w:val="Block Text"/>
    <w:basedOn w:val="Normal"/>
    <w:uiPriority w:val="99"/>
    <w:unhideWhenUsed/>
    <w:rsid w:val="009E1A20"/>
    <w:pPr>
      <w:pBdr>
        <w:top w:val="single" w:sz="2" w:space="10" w:color="360015" w:themeColor="accent1"/>
        <w:left w:val="single" w:sz="2" w:space="10" w:color="360015" w:themeColor="accent1"/>
        <w:bottom w:val="single" w:sz="2" w:space="10" w:color="360015" w:themeColor="accent1"/>
        <w:right w:val="single" w:sz="2" w:space="10" w:color="360015" w:themeColor="accent1"/>
      </w:pBdr>
      <w:ind w:left="1152" w:right="1152"/>
    </w:pPr>
    <w:rPr>
      <w:rFonts w:eastAsiaTheme="minorEastAsia" w:cstheme="minorBidi"/>
      <w:iCs/>
      <w:color w:val="385F9F"/>
    </w:rPr>
  </w:style>
  <w:style w:type="table" w:styleId="TableGrid">
    <w:name w:val="Table Grid"/>
    <w:basedOn w:val="TableNormal"/>
    <w:uiPriority w:val="39"/>
    <w:rsid w:val="0005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0518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F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619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619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619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619C" w:themeFill="accent6"/>
      </w:tcPr>
    </w:tblStylePr>
    <w:tblStylePr w:type="band1Vert">
      <w:tblPr/>
      <w:tcPr>
        <w:shd w:val="clear" w:color="auto" w:fill="CDBFD7" w:themeFill="accent6" w:themeFillTint="66"/>
      </w:tcPr>
    </w:tblStylePr>
    <w:tblStylePr w:type="band1Horz">
      <w:tblPr/>
      <w:tcPr>
        <w:shd w:val="clear" w:color="auto" w:fill="CDBFD7" w:themeFill="accent6" w:themeFillTint="66"/>
      </w:tcPr>
    </w:tblStylePr>
  </w:style>
  <w:style w:type="character" w:customStyle="1" w:styleId="Heading4Char">
    <w:name w:val="Heading 4 Char"/>
    <w:basedOn w:val="DefaultParagraphFont"/>
    <w:link w:val="Heading4"/>
    <w:uiPriority w:val="9"/>
    <w:semiHidden/>
    <w:rsid w:val="00A22F20"/>
    <w:rPr>
      <w:rFonts w:eastAsiaTheme="majorEastAsia" w:cstheme="majorBidi"/>
      <w:iCs/>
      <w:color w:val="83619C" w:themeColor="accent2"/>
    </w:rPr>
  </w:style>
  <w:style w:type="character" w:customStyle="1" w:styleId="Heading5Char">
    <w:name w:val="Heading 5 Char"/>
    <w:basedOn w:val="DefaultParagraphFont"/>
    <w:link w:val="Heading5"/>
    <w:uiPriority w:val="9"/>
    <w:semiHidden/>
    <w:rsid w:val="00A22F20"/>
    <w:rPr>
      <w:rFonts w:eastAsiaTheme="majorEastAsia" w:cstheme="majorBidi"/>
      <w:color w:val="360015" w:themeColor="accent1"/>
    </w:rPr>
  </w:style>
  <w:style w:type="character" w:customStyle="1" w:styleId="Heading6Char">
    <w:name w:val="Heading 6 Char"/>
    <w:basedOn w:val="DefaultParagraphFont"/>
    <w:link w:val="Heading6"/>
    <w:uiPriority w:val="9"/>
    <w:semiHidden/>
    <w:rsid w:val="00A22F20"/>
    <w:rPr>
      <w:rFonts w:eastAsiaTheme="majorEastAsia" w:cstheme="majorBidi"/>
      <w:color w:val="83619C" w:themeColor="accent2"/>
    </w:rPr>
  </w:style>
  <w:style w:type="character" w:customStyle="1" w:styleId="Heading7Char">
    <w:name w:val="Heading 7 Char"/>
    <w:basedOn w:val="DefaultParagraphFont"/>
    <w:link w:val="Heading7"/>
    <w:uiPriority w:val="9"/>
    <w:semiHidden/>
    <w:rsid w:val="000F638A"/>
    <w:rPr>
      <w:rFonts w:eastAsiaTheme="majorEastAsia" w:cstheme="majorBidi"/>
      <w:i/>
      <w:iCs/>
      <w:color w:val="DB1785"/>
    </w:rPr>
  </w:style>
  <w:style w:type="character" w:customStyle="1" w:styleId="Heading8Char">
    <w:name w:val="Heading 8 Char"/>
    <w:basedOn w:val="DefaultParagraphFont"/>
    <w:link w:val="Heading8"/>
    <w:uiPriority w:val="9"/>
    <w:semiHidden/>
    <w:rsid w:val="000F638A"/>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638A"/>
    <w:rPr>
      <w:rFonts w:eastAsiaTheme="majorEastAsia" w:cstheme="majorBidi"/>
      <w:b/>
      <w:iCs/>
      <w:color w:val="272727" w:themeColor="text1" w:themeTint="D8"/>
      <w:sz w:val="21"/>
      <w:szCs w:val="21"/>
    </w:rPr>
  </w:style>
  <w:style w:type="table" w:styleId="MediumShading2-Accent1">
    <w:name w:val="Medium Shading 2 Accent 1"/>
    <w:basedOn w:val="TableNormal"/>
    <w:uiPriority w:val="64"/>
    <w:semiHidden/>
    <w:unhideWhenUsed/>
    <w:rsid w:val="000F63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001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0015" w:themeFill="accent1"/>
      </w:tcPr>
    </w:tblStylePr>
    <w:tblStylePr w:type="lastCol">
      <w:rPr>
        <w:b/>
        <w:bCs/>
        <w:color w:val="FFFFFF" w:themeColor="background1"/>
      </w:rPr>
      <w:tblPr/>
      <w:tcPr>
        <w:tcBorders>
          <w:left w:val="nil"/>
          <w:right w:val="nil"/>
          <w:insideH w:val="nil"/>
          <w:insideV w:val="nil"/>
        </w:tcBorders>
        <w:shd w:val="clear" w:color="auto" w:fill="36001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40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a@innovateaward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Innovate 2026">
      <a:dk1>
        <a:srgbClr val="000000"/>
      </a:dk1>
      <a:lt1>
        <a:srgbClr val="FFFFFF"/>
      </a:lt1>
      <a:dk2>
        <a:srgbClr val="360015"/>
      </a:dk2>
      <a:lt2>
        <a:srgbClr val="FFFFFF"/>
      </a:lt2>
      <a:accent1>
        <a:srgbClr val="360015"/>
      </a:accent1>
      <a:accent2>
        <a:srgbClr val="83619C"/>
      </a:accent2>
      <a:accent3>
        <a:srgbClr val="DB1785"/>
      </a:accent3>
      <a:accent4>
        <a:srgbClr val="C8F254"/>
      </a:accent4>
      <a:accent5>
        <a:srgbClr val="350014"/>
      </a:accent5>
      <a:accent6>
        <a:srgbClr val="83619C"/>
      </a:accent6>
      <a:hlink>
        <a:srgbClr val="DA1684"/>
      </a:hlink>
      <a:folHlink>
        <a:srgbClr val="6161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0AAAEF7AA604D81A362797EECC935" ma:contentTypeVersion="18" ma:contentTypeDescription="Create a new document." ma:contentTypeScope="" ma:versionID="8c1c08660393276824b6b4241d3dfdf9">
  <xsd:schema xmlns:xsd="http://www.w3.org/2001/XMLSchema" xmlns:xs="http://www.w3.org/2001/XMLSchema" xmlns:p="http://schemas.microsoft.com/office/2006/metadata/properties" xmlns:ns2="c6c6a340-149a-470a-9549-bf3e6a7a21d8" xmlns:ns3="40d5aa70-66cc-4dd3-b257-346e260c4837" targetNamespace="http://schemas.microsoft.com/office/2006/metadata/properties" ma:root="true" ma:fieldsID="26e8c8a6f94105dae7f3388988f8e64f" ns2:_="" ns3:_="">
    <xsd:import namespace="c6c6a340-149a-470a-9549-bf3e6a7a21d8"/>
    <xsd:import namespace="40d5aa70-66cc-4dd3-b257-346e260c48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6a340-149a-470a-9549-bf3e6a7a2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f832e2-3cff-4111-9b25-0327fc27d9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d5aa70-66cc-4dd3-b257-346e260c48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8a3bdb-57d3-4719-9088-d6a04448b84d}" ma:internalName="TaxCatchAll" ma:showField="CatchAllData" ma:web="40d5aa70-66cc-4dd3-b257-346e260c4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d5aa70-66cc-4dd3-b257-346e260c4837" xsi:nil="true"/>
    <lcf76f155ced4ddcb4097134ff3c332f xmlns="c6c6a340-149a-470a-9549-bf3e6a7a21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8806-742D-4F70-BF3F-A146DF67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6a340-149a-470a-9549-bf3e6a7a21d8"/>
    <ds:schemaRef ds:uri="40d5aa70-66cc-4dd3-b257-346e260c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628DA-1ED4-4BC0-AFAF-6D6CFC0E58AD}">
  <ds:schemaRefs>
    <ds:schemaRef ds:uri="http://schemas.microsoft.com/sharepoint/v3/contenttype/forms"/>
  </ds:schemaRefs>
</ds:datastoreItem>
</file>

<file path=customXml/itemProps3.xml><?xml version="1.0" encoding="utf-8"?>
<ds:datastoreItem xmlns:ds="http://schemas.openxmlformats.org/officeDocument/2006/customXml" ds:itemID="{E10345F0-8D22-42C3-8F6B-F3CCF3DF33B1}">
  <ds:schemaRefs>
    <ds:schemaRef ds:uri="http://schemas.microsoft.com/office/2006/metadata/properties"/>
    <ds:schemaRef ds:uri="http://schemas.microsoft.com/office/infopath/2007/PartnerControls"/>
    <ds:schemaRef ds:uri="40d5aa70-66cc-4dd3-b257-346e260c4837"/>
    <ds:schemaRef ds:uri="c6c6a340-149a-470a-9549-bf3e6a7a21d8"/>
  </ds:schemaRefs>
</ds:datastoreItem>
</file>

<file path=customXml/itemProps4.xml><?xml version="1.0" encoding="utf-8"?>
<ds:datastoreItem xmlns:ds="http://schemas.openxmlformats.org/officeDocument/2006/customXml" ds:itemID="{BADF6F1E-8F36-1C46-B9E7-BDC59463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Lynne Walsh2</cp:lastModifiedBy>
  <cp:revision>7</cp:revision>
  <dcterms:created xsi:type="dcterms:W3CDTF">2026-05-28T15:12:00Z</dcterms:created>
  <dcterms:modified xsi:type="dcterms:W3CDTF">2026-06-23T11:03:00Z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#0000ff,14,Calibri</vt:lpwstr>
  </property>
  <property fmtid="{D5CDD505-2E9C-101B-9397-08002B2CF9AE}" pid="4" name="ClassificationContentMarkingHeaderText">
    <vt:lpwstr>Internal Use Only</vt:lpwstr>
  </property>
  <property fmtid="{D5CDD505-2E9C-101B-9397-08002B2CF9AE}" pid="5" name="ContentTypeId">
    <vt:lpwstr>0x0101000170AAAEF7AA604D81A362797EECC935</vt:lpwstr>
  </property>
  <property fmtid="{D5CDD505-2E9C-101B-9397-08002B2CF9AE}" pid="6" name="MediaServiceImageTags">
    <vt:lpwstr/>
  </property>
  <property fmtid="{D5CDD505-2E9C-101B-9397-08002B2CF9AE}" pid="7" name="MSIP_Label_61519f85-b1b8-4d9c-bf03-f8147f410c03_Enabled">
    <vt:lpwstr>true</vt:lpwstr>
  </property>
  <property fmtid="{D5CDD505-2E9C-101B-9397-08002B2CF9AE}" pid="8" name="MSIP_Label_61519f85-b1b8-4d9c-bf03-f8147f410c03_SetDate">
    <vt:lpwstr>2026-03-06T16:08:26Z</vt:lpwstr>
  </property>
  <property fmtid="{D5CDD505-2E9C-101B-9397-08002B2CF9AE}" pid="9" name="MSIP_Label_61519f85-b1b8-4d9c-bf03-f8147f410c03_Method">
    <vt:lpwstr>Privileged</vt:lpwstr>
  </property>
  <property fmtid="{D5CDD505-2E9C-101B-9397-08002B2CF9AE}" pid="10" name="MSIP_Label_61519f85-b1b8-4d9c-bf03-f8147f410c03_Name">
    <vt:lpwstr>Innovate Confidential</vt:lpwstr>
  </property>
  <property fmtid="{D5CDD505-2E9C-101B-9397-08002B2CF9AE}" pid="11" name="MSIP_Label_61519f85-b1b8-4d9c-bf03-f8147f410c03_SiteId">
    <vt:lpwstr>59c39578-7ef8-4872-ac83-cd8dc4fb6ec6</vt:lpwstr>
  </property>
  <property fmtid="{D5CDD505-2E9C-101B-9397-08002B2CF9AE}" pid="12" name="MSIP_Label_61519f85-b1b8-4d9c-bf03-f8147f410c03_ActionId">
    <vt:lpwstr>00a38590-cd0e-4ade-af37-8e464fff3af4</vt:lpwstr>
  </property>
  <property fmtid="{D5CDD505-2E9C-101B-9397-08002B2CF9AE}" pid="13" name="MSIP_Label_61519f85-b1b8-4d9c-bf03-f8147f410c03_ContentBits">
    <vt:lpwstr>1</vt:lpwstr>
  </property>
  <property fmtid="{D5CDD505-2E9C-101B-9397-08002B2CF9AE}" pid="14" name="MSIP_Label_61519f85-b1b8-4d9c-bf03-f8147f410c03_Tag">
    <vt:lpwstr>10, 0, 1, 1</vt:lpwstr>
  </property>
</Properties>
</file>